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F64C" w14:textId="35D1C6B8" w:rsidR="002C1503" w:rsidRPr="00FF1F97" w:rsidRDefault="00946FBB" w:rsidP="002C1503">
      <w:pPr>
        <w:shd w:val="clear" w:color="auto" w:fill="FFFFFF"/>
        <w:spacing w:line="276" w:lineRule="auto"/>
        <w:jc w:val="center"/>
        <w:rPr>
          <w:rFonts w:ascii="Century" w:eastAsia="Calibri" w:hAnsi="Century"/>
          <w:lang w:val="uk-UA"/>
        </w:rPr>
      </w:pPr>
      <w:bookmarkStart w:id="0" w:name="_Hlk69735875"/>
      <w:bookmarkStart w:id="1" w:name="_Hlk62647722"/>
      <w:r w:rsidRPr="00FF1F97">
        <w:rPr>
          <w:rFonts w:ascii="Century" w:eastAsia="Calibri" w:hAnsi="Century"/>
          <w:noProof/>
          <w:lang w:val="uk-UA" w:eastAsia="uk-UA"/>
        </w:rPr>
        <w:drawing>
          <wp:inline distT="0" distB="0" distL="0" distR="0" wp14:anchorId="2CA60195" wp14:editId="74F9FFA8">
            <wp:extent cx="563245" cy="6273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6F3C7E00" w14:textId="77777777" w:rsidR="002C1503" w:rsidRPr="00FF1F97" w:rsidRDefault="002C1503" w:rsidP="002C1503">
      <w:pPr>
        <w:shd w:val="clear" w:color="auto" w:fill="FFFFFF"/>
        <w:jc w:val="center"/>
        <w:rPr>
          <w:rFonts w:ascii="Century" w:eastAsia="Calibri" w:hAnsi="Century"/>
          <w:sz w:val="32"/>
          <w:szCs w:val="32"/>
          <w:lang w:val="uk-UA"/>
        </w:rPr>
      </w:pPr>
      <w:r w:rsidRPr="00FF1F97">
        <w:rPr>
          <w:rFonts w:ascii="Century" w:eastAsia="Calibri" w:hAnsi="Century"/>
          <w:sz w:val="32"/>
          <w:szCs w:val="32"/>
          <w:lang w:val="uk-UA"/>
        </w:rPr>
        <w:t>УКРАЇНА</w:t>
      </w:r>
    </w:p>
    <w:p w14:paraId="7EBAAF45" w14:textId="77777777" w:rsidR="002C1503" w:rsidRPr="00FF1F97" w:rsidRDefault="002C1503" w:rsidP="002C1503">
      <w:pPr>
        <w:shd w:val="clear" w:color="auto" w:fill="FFFFFF"/>
        <w:jc w:val="center"/>
        <w:rPr>
          <w:rFonts w:ascii="Century" w:eastAsia="Calibri" w:hAnsi="Century"/>
          <w:b/>
          <w:sz w:val="32"/>
          <w:lang w:val="uk-UA"/>
        </w:rPr>
      </w:pPr>
      <w:r w:rsidRPr="00FF1F97">
        <w:rPr>
          <w:rFonts w:ascii="Century" w:eastAsia="Calibri" w:hAnsi="Century"/>
          <w:b/>
          <w:sz w:val="32"/>
          <w:lang w:val="uk-UA"/>
        </w:rPr>
        <w:t>ГОРОДОЦЬКА МІСЬКА РАДА</w:t>
      </w:r>
    </w:p>
    <w:p w14:paraId="5AE2F236" w14:textId="77777777" w:rsidR="002C1503" w:rsidRPr="00FF1F97" w:rsidRDefault="002C1503" w:rsidP="002C1503">
      <w:pPr>
        <w:shd w:val="clear" w:color="auto" w:fill="FFFFFF"/>
        <w:jc w:val="center"/>
        <w:rPr>
          <w:rFonts w:ascii="Century" w:eastAsia="Calibri" w:hAnsi="Century"/>
          <w:sz w:val="32"/>
          <w:lang w:val="uk-UA"/>
        </w:rPr>
      </w:pPr>
      <w:r w:rsidRPr="00FF1F97">
        <w:rPr>
          <w:rFonts w:ascii="Century" w:eastAsia="Calibri" w:hAnsi="Century"/>
          <w:sz w:val="32"/>
          <w:lang w:val="uk-UA"/>
        </w:rPr>
        <w:t>ЛЬВІВСЬКОЇ ОБЛАСТІ</w:t>
      </w:r>
    </w:p>
    <w:p w14:paraId="4F72DD1B" w14:textId="77777777" w:rsidR="002C1503" w:rsidRPr="00FF1F97" w:rsidRDefault="002C1503" w:rsidP="002C1503">
      <w:pPr>
        <w:shd w:val="clear" w:color="auto" w:fill="FFFFFF"/>
        <w:jc w:val="center"/>
        <w:rPr>
          <w:rFonts w:ascii="Century" w:eastAsia="Calibri" w:hAnsi="Century"/>
          <w:b/>
          <w:sz w:val="28"/>
          <w:szCs w:val="28"/>
          <w:lang w:val="uk-UA"/>
        </w:rPr>
      </w:pPr>
      <w:r w:rsidRPr="00FF1F97">
        <w:rPr>
          <w:rFonts w:ascii="Century" w:eastAsia="Calibri" w:hAnsi="Century"/>
          <w:b/>
          <w:sz w:val="32"/>
          <w:szCs w:val="32"/>
          <w:lang w:val="uk-UA"/>
        </w:rPr>
        <w:t xml:space="preserve">8 </w:t>
      </w:r>
      <w:r w:rsidRPr="00FF1F97">
        <w:rPr>
          <w:rFonts w:ascii="Century" w:eastAsia="Calibri" w:hAnsi="Century"/>
          <w:b/>
          <w:caps/>
          <w:sz w:val="28"/>
          <w:szCs w:val="28"/>
          <w:lang w:val="uk-UA"/>
        </w:rPr>
        <w:t>сесія восьмого скликання</w:t>
      </w:r>
    </w:p>
    <w:p w14:paraId="04992656" w14:textId="77777777" w:rsidR="002C1503" w:rsidRPr="00FF1F97" w:rsidRDefault="002C1503" w:rsidP="002C1503">
      <w:pPr>
        <w:spacing w:line="276" w:lineRule="auto"/>
        <w:jc w:val="center"/>
        <w:rPr>
          <w:rFonts w:ascii="Century" w:eastAsia="Calibri" w:hAnsi="Century"/>
          <w:b/>
          <w:sz w:val="28"/>
          <w:szCs w:val="28"/>
          <w:lang w:val="uk-UA"/>
        </w:rPr>
      </w:pPr>
    </w:p>
    <w:p w14:paraId="02605656" w14:textId="478A489B" w:rsidR="002C1503" w:rsidRPr="00FF1F97" w:rsidRDefault="002C1503" w:rsidP="002C1503">
      <w:pPr>
        <w:spacing w:line="276" w:lineRule="auto"/>
        <w:jc w:val="center"/>
        <w:rPr>
          <w:rFonts w:ascii="Century" w:eastAsia="Calibri" w:hAnsi="Century"/>
          <w:b/>
          <w:sz w:val="36"/>
          <w:szCs w:val="36"/>
          <w:lang w:val="uk-UA"/>
        </w:rPr>
      </w:pPr>
      <w:r w:rsidRPr="00FF1F97">
        <w:rPr>
          <w:rFonts w:ascii="Century" w:eastAsia="Calibri" w:hAnsi="Century"/>
          <w:b/>
          <w:sz w:val="36"/>
          <w:szCs w:val="36"/>
          <w:lang w:val="uk-UA"/>
        </w:rPr>
        <w:t xml:space="preserve">РІШЕННЯ № </w:t>
      </w:r>
      <w:r w:rsidR="00946FBB" w:rsidRPr="00FF1F97">
        <w:rPr>
          <w:rFonts w:ascii="Century" w:eastAsia="Calibri" w:hAnsi="Century"/>
          <w:bCs/>
          <w:sz w:val="36"/>
          <w:szCs w:val="36"/>
          <w:lang w:val="uk-UA"/>
        </w:rPr>
        <w:t>1632</w:t>
      </w:r>
    </w:p>
    <w:p w14:paraId="44DCD159" w14:textId="77777777" w:rsidR="002C1503" w:rsidRPr="00FF1F97" w:rsidRDefault="002C1503" w:rsidP="002C1503">
      <w:pPr>
        <w:jc w:val="both"/>
        <w:rPr>
          <w:rFonts w:ascii="Century" w:eastAsia="Calibri" w:hAnsi="Century"/>
          <w:sz w:val="28"/>
          <w:szCs w:val="28"/>
          <w:lang w:val="uk-UA"/>
        </w:rPr>
      </w:pPr>
      <w:bookmarkStart w:id="2" w:name="_Hlk69735883"/>
      <w:bookmarkEnd w:id="0"/>
      <w:r w:rsidRPr="00FF1F97">
        <w:rPr>
          <w:rFonts w:ascii="Century" w:eastAsia="Calibri" w:hAnsi="Century"/>
          <w:sz w:val="28"/>
          <w:szCs w:val="28"/>
          <w:lang w:val="uk-UA"/>
        </w:rPr>
        <w:t xml:space="preserve">від </w:t>
      </w:r>
      <w:r w:rsidRPr="00FF1F97">
        <w:rPr>
          <w:rFonts w:ascii="Century" w:eastAsia="Calibri" w:hAnsi="Century"/>
          <w:sz w:val="28"/>
          <w:szCs w:val="28"/>
          <w:lang w:val="en-US"/>
        </w:rPr>
        <w:t>24</w:t>
      </w:r>
      <w:r w:rsidRPr="00FF1F97">
        <w:rPr>
          <w:rFonts w:ascii="Century" w:eastAsia="Calibri" w:hAnsi="Century"/>
          <w:sz w:val="28"/>
          <w:szCs w:val="28"/>
          <w:lang w:val="uk-UA"/>
        </w:rPr>
        <w:t xml:space="preserve"> червня 2021 року</w:t>
      </w:r>
      <w:r w:rsidRPr="00FF1F97">
        <w:rPr>
          <w:rFonts w:ascii="Century" w:eastAsia="Calibri" w:hAnsi="Century"/>
          <w:sz w:val="28"/>
          <w:szCs w:val="28"/>
          <w:lang w:val="uk-UA"/>
        </w:rPr>
        <w:tab/>
      </w:r>
      <w:r w:rsidRPr="00FF1F97">
        <w:rPr>
          <w:rFonts w:ascii="Century" w:eastAsia="Calibri" w:hAnsi="Century"/>
          <w:sz w:val="28"/>
          <w:szCs w:val="28"/>
          <w:lang w:val="uk-UA"/>
        </w:rPr>
        <w:tab/>
      </w:r>
      <w:r w:rsidRPr="00FF1F97">
        <w:rPr>
          <w:rFonts w:ascii="Century" w:eastAsia="Calibri" w:hAnsi="Century"/>
          <w:sz w:val="28"/>
          <w:szCs w:val="28"/>
          <w:lang w:val="uk-UA"/>
        </w:rPr>
        <w:tab/>
      </w:r>
      <w:r w:rsidRPr="00FF1F97">
        <w:rPr>
          <w:rFonts w:ascii="Century" w:eastAsia="Calibri" w:hAnsi="Century"/>
          <w:sz w:val="28"/>
          <w:szCs w:val="28"/>
          <w:lang w:val="uk-UA"/>
        </w:rPr>
        <w:tab/>
      </w:r>
      <w:r w:rsidRPr="00FF1F97">
        <w:rPr>
          <w:rFonts w:ascii="Century" w:eastAsia="Calibri" w:hAnsi="Century"/>
          <w:sz w:val="28"/>
          <w:szCs w:val="28"/>
          <w:lang w:val="uk-UA"/>
        </w:rPr>
        <w:tab/>
      </w:r>
      <w:r w:rsidRPr="00FF1F97">
        <w:rPr>
          <w:rFonts w:ascii="Century" w:eastAsia="Calibri" w:hAnsi="Century"/>
          <w:sz w:val="28"/>
          <w:szCs w:val="28"/>
          <w:lang w:val="uk-UA"/>
        </w:rPr>
        <w:tab/>
      </w:r>
      <w:r w:rsidRPr="00FF1F97">
        <w:rPr>
          <w:rFonts w:ascii="Century" w:eastAsia="Calibri" w:hAnsi="Century"/>
          <w:sz w:val="28"/>
          <w:szCs w:val="28"/>
          <w:lang w:val="uk-UA"/>
        </w:rPr>
        <w:tab/>
        <w:t xml:space="preserve">     м. Городок</w:t>
      </w:r>
    </w:p>
    <w:bookmarkEnd w:id="1"/>
    <w:bookmarkEnd w:id="2"/>
    <w:p w14:paraId="66580E56" w14:textId="77777777" w:rsidR="00D1732B" w:rsidRPr="00FF1F97" w:rsidRDefault="00D1732B" w:rsidP="00B046EC">
      <w:pPr>
        <w:jc w:val="both"/>
        <w:rPr>
          <w:rStyle w:val="rvts0"/>
          <w:rFonts w:ascii="Century" w:hAnsi="Century"/>
          <w:sz w:val="22"/>
          <w:szCs w:val="22"/>
          <w:lang w:val="uk-UA"/>
        </w:rPr>
      </w:pPr>
    </w:p>
    <w:p w14:paraId="5B2AE344" w14:textId="77777777" w:rsidR="004E6E86" w:rsidRPr="00FF1F97" w:rsidRDefault="002C1503" w:rsidP="002C1503">
      <w:pPr>
        <w:ind w:right="5385"/>
        <w:rPr>
          <w:rFonts w:ascii="Century" w:hAnsi="Century"/>
          <w:sz w:val="28"/>
          <w:szCs w:val="28"/>
          <w:lang w:val="uk-UA"/>
        </w:rPr>
      </w:pPr>
      <w:r w:rsidRPr="00FF1F97">
        <w:rPr>
          <w:rStyle w:val="rvts0"/>
          <w:rFonts w:ascii="Century" w:hAnsi="Century"/>
          <w:b/>
          <w:sz w:val="28"/>
          <w:szCs w:val="28"/>
          <w:lang w:val="uk-UA"/>
        </w:rPr>
        <w:t>Про встановлення місцевих податків і зборів та визначення розмірів їх ставок на території Городоцької міської ради з 1 січня  2022 року</w:t>
      </w:r>
    </w:p>
    <w:p w14:paraId="175D825F" w14:textId="77777777" w:rsidR="004E6E86" w:rsidRPr="00FF1F97" w:rsidRDefault="004E6E86" w:rsidP="00B046EC">
      <w:pPr>
        <w:ind w:firstLine="720"/>
        <w:jc w:val="both"/>
        <w:rPr>
          <w:rFonts w:ascii="Century" w:hAnsi="Century"/>
          <w:sz w:val="28"/>
          <w:szCs w:val="28"/>
          <w:lang w:val="uk-UA"/>
        </w:rPr>
      </w:pPr>
    </w:p>
    <w:p w14:paraId="795F21BE" w14:textId="77777777" w:rsidR="00B046EC" w:rsidRPr="00FF1F97" w:rsidRDefault="00B046EC" w:rsidP="00B046EC">
      <w:pPr>
        <w:ind w:firstLine="720"/>
        <w:jc w:val="both"/>
        <w:rPr>
          <w:rFonts w:ascii="Century" w:hAnsi="Century"/>
          <w:sz w:val="28"/>
          <w:szCs w:val="28"/>
          <w:lang w:val="uk-UA"/>
        </w:rPr>
      </w:pPr>
      <w:r w:rsidRPr="00FF1F97">
        <w:rPr>
          <w:rFonts w:ascii="Century" w:hAnsi="Century"/>
          <w:sz w:val="28"/>
          <w:szCs w:val="28"/>
          <w:lang w:val="uk-UA"/>
        </w:rPr>
        <w:t xml:space="preserve">Відповідно до ст.10, </w:t>
      </w:r>
      <w:r w:rsidR="003865A2" w:rsidRPr="00FF1F97">
        <w:rPr>
          <w:rFonts w:ascii="Century" w:hAnsi="Century"/>
          <w:sz w:val="28"/>
          <w:szCs w:val="28"/>
          <w:lang w:val="uk-UA"/>
        </w:rPr>
        <w:t xml:space="preserve">12, </w:t>
      </w:r>
      <w:r w:rsidRPr="00FF1F97">
        <w:rPr>
          <w:rFonts w:ascii="Century" w:hAnsi="Century"/>
          <w:sz w:val="28"/>
          <w:szCs w:val="28"/>
          <w:lang w:val="uk-UA"/>
        </w:rPr>
        <w:t>267, 268 та 268¹ Податкового кодексу України,  Закону України «Про засади державної регуляторної політики у сфері господарської діяльності» та керуючись підпунктом 24 пункту 1 статті 26, статтею 59 Закону України «Про місцеве самоврядування в Україні», міська рада</w:t>
      </w:r>
    </w:p>
    <w:p w14:paraId="519E6ECF" w14:textId="77777777" w:rsidR="00B046EC" w:rsidRPr="00FF1F97" w:rsidRDefault="00B046EC" w:rsidP="00B046EC">
      <w:pPr>
        <w:jc w:val="both"/>
        <w:rPr>
          <w:rFonts w:ascii="Century" w:hAnsi="Century"/>
          <w:sz w:val="28"/>
          <w:szCs w:val="28"/>
          <w:lang w:val="uk-UA"/>
        </w:rPr>
      </w:pPr>
    </w:p>
    <w:p w14:paraId="460DCD8C" w14:textId="77777777" w:rsidR="00B046EC" w:rsidRPr="00FF1F97" w:rsidRDefault="00B046EC" w:rsidP="00B046EC">
      <w:pPr>
        <w:jc w:val="center"/>
        <w:rPr>
          <w:rFonts w:ascii="Century" w:hAnsi="Century"/>
          <w:b/>
          <w:bCs/>
          <w:sz w:val="28"/>
          <w:szCs w:val="28"/>
          <w:lang w:val="uk-UA"/>
        </w:rPr>
      </w:pPr>
      <w:r w:rsidRPr="00FF1F97">
        <w:rPr>
          <w:rFonts w:ascii="Century" w:hAnsi="Century"/>
          <w:b/>
          <w:bCs/>
          <w:sz w:val="28"/>
          <w:szCs w:val="28"/>
          <w:lang w:val="uk-UA"/>
        </w:rPr>
        <w:t>В И Р І Ш И Л А:</w:t>
      </w:r>
    </w:p>
    <w:p w14:paraId="1A933F3D" w14:textId="77777777" w:rsidR="00B046EC" w:rsidRPr="00FF1F97" w:rsidRDefault="00B046EC" w:rsidP="00B046EC">
      <w:pPr>
        <w:jc w:val="both"/>
        <w:rPr>
          <w:rFonts w:ascii="Century" w:hAnsi="Century"/>
          <w:sz w:val="28"/>
          <w:szCs w:val="28"/>
          <w:lang w:val="uk-UA"/>
        </w:rPr>
      </w:pPr>
    </w:p>
    <w:p w14:paraId="1DEDD6A9" w14:textId="77777777" w:rsidR="00B046EC" w:rsidRPr="00FF1F97" w:rsidRDefault="00B046EC" w:rsidP="002C1503">
      <w:pPr>
        <w:jc w:val="both"/>
        <w:rPr>
          <w:rFonts w:ascii="Century" w:hAnsi="Century"/>
          <w:sz w:val="28"/>
          <w:szCs w:val="28"/>
          <w:lang w:val="uk-UA"/>
        </w:rPr>
      </w:pPr>
      <w:r w:rsidRPr="00FF1F97">
        <w:rPr>
          <w:rFonts w:ascii="Century" w:hAnsi="Century"/>
          <w:sz w:val="28"/>
          <w:szCs w:val="28"/>
          <w:lang w:val="uk-UA"/>
        </w:rPr>
        <w:t>1. Встановити з 1 січня 202</w:t>
      </w:r>
      <w:r w:rsidR="00073C93" w:rsidRPr="00FF1F97">
        <w:rPr>
          <w:rFonts w:ascii="Century" w:hAnsi="Century"/>
          <w:sz w:val="28"/>
          <w:szCs w:val="28"/>
          <w:lang w:val="uk-UA"/>
        </w:rPr>
        <w:t>2</w:t>
      </w:r>
      <w:r w:rsidRPr="00FF1F97">
        <w:rPr>
          <w:rFonts w:ascii="Century" w:hAnsi="Century"/>
          <w:sz w:val="28"/>
          <w:szCs w:val="28"/>
          <w:lang w:val="uk-UA"/>
        </w:rPr>
        <w:t xml:space="preserve"> року на території  Городоцької  міської ради Львівської області ставки на місцеві податки і збори, а саме:</w:t>
      </w:r>
    </w:p>
    <w:p w14:paraId="4850E085" w14:textId="77777777" w:rsidR="00B046EC" w:rsidRPr="00FF1F97" w:rsidRDefault="00B046EC" w:rsidP="00B046EC">
      <w:pPr>
        <w:ind w:firstLine="720"/>
        <w:jc w:val="both"/>
        <w:rPr>
          <w:rFonts w:ascii="Century" w:hAnsi="Century"/>
          <w:sz w:val="28"/>
          <w:szCs w:val="28"/>
          <w:lang w:val="uk-UA"/>
        </w:rPr>
      </w:pPr>
      <w:r w:rsidRPr="00FF1F97">
        <w:rPr>
          <w:rFonts w:ascii="Century" w:hAnsi="Century"/>
          <w:sz w:val="28"/>
          <w:szCs w:val="28"/>
          <w:lang w:val="uk-UA"/>
        </w:rPr>
        <w:t xml:space="preserve">- ставку транспортного податку з розрахунку на календарний рік у розмірі 25 000,00 грн. за кожен легковий автомобіль, з року випуску якого минуло не більше п’яти років (включно) та </w:t>
      </w:r>
      <w:r w:rsidR="00F97B88" w:rsidRPr="00FF1F97">
        <w:rPr>
          <w:rFonts w:ascii="Century" w:hAnsi="Century"/>
          <w:sz w:val="28"/>
          <w:szCs w:val="28"/>
          <w:lang w:val="uk-UA"/>
        </w:rPr>
        <w:t>середньо ринкова</w:t>
      </w:r>
      <w:r w:rsidRPr="00FF1F97">
        <w:rPr>
          <w:rFonts w:ascii="Century" w:hAnsi="Century"/>
          <w:sz w:val="28"/>
          <w:szCs w:val="28"/>
          <w:lang w:val="uk-UA"/>
        </w:rPr>
        <w:t xml:space="preserve"> вартість якого становить понад 375 розмірів мінімальної заробітної плати, встановленої законом на 01 січня податкового (звітного) року;</w:t>
      </w:r>
    </w:p>
    <w:p w14:paraId="61C220F6" w14:textId="77777777" w:rsidR="00B046EC" w:rsidRPr="00FF1F97" w:rsidRDefault="00B046EC" w:rsidP="002C1503">
      <w:pPr>
        <w:pStyle w:val="3"/>
        <w:ind w:right="-5" w:firstLine="900"/>
        <w:jc w:val="both"/>
        <w:rPr>
          <w:rFonts w:ascii="Century" w:hAnsi="Century"/>
          <w:sz w:val="28"/>
          <w:szCs w:val="28"/>
          <w:lang w:val="uk-UA"/>
        </w:rPr>
      </w:pPr>
      <w:r w:rsidRPr="00FF1F97">
        <w:rPr>
          <w:rFonts w:ascii="Century" w:hAnsi="Century"/>
          <w:sz w:val="28"/>
          <w:szCs w:val="28"/>
          <w:lang w:val="uk-UA"/>
        </w:rPr>
        <w:t>- ставки туристичного збору за кожну добу тимчасового розміщення особи у місцях проживання (ночівлі), а саме: для внутрішнього туризму у розмірі 0,</w:t>
      </w:r>
      <w:r w:rsidR="00E009D9" w:rsidRPr="00FF1F97">
        <w:rPr>
          <w:rFonts w:ascii="Century" w:hAnsi="Century"/>
          <w:sz w:val="28"/>
          <w:szCs w:val="28"/>
          <w:lang w:val="uk-UA"/>
        </w:rPr>
        <w:t>5</w:t>
      </w:r>
      <w:r w:rsidRPr="00FF1F97">
        <w:rPr>
          <w:rFonts w:ascii="Century" w:hAnsi="Century"/>
          <w:sz w:val="28"/>
          <w:szCs w:val="28"/>
          <w:lang w:val="uk-UA"/>
        </w:rPr>
        <w:t xml:space="preserve"> відсотка та для в’їзного туризму </w:t>
      </w:r>
      <w:r w:rsidR="00A70109" w:rsidRPr="00FF1F97">
        <w:rPr>
          <w:rFonts w:ascii="Century" w:hAnsi="Century"/>
          <w:sz w:val="28"/>
          <w:szCs w:val="28"/>
          <w:lang w:val="uk-UA"/>
        </w:rPr>
        <w:t>0,</w:t>
      </w:r>
      <w:r w:rsidR="00E009D9" w:rsidRPr="00FF1F97">
        <w:rPr>
          <w:rFonts w:ascii="Century" w:hAnsi="Century"/>
          <w:sz w:val="28"/>
          <w:szCs w:val="28"/>
          <w:lang w:val="uk-UA"/>
        </w:rPr>
        <w:t>5</w:t>
      </w:r>
      <w:r w:rsidRPr="00FF1F97">
        <w:rPr>
          <w:rFonts w:ascii="Century" w:hAnsi="Century"/>
          <w:sz w:val="28"/>
          <w:szCs w:val="28"/>
          <w:lang w:val="uk-UA"/>
        </w:rPr>
        <w:t xml:space="preserve"> відсотки від розміру мінімальної заробітної </w:t>
      </w:r>
      <w:r w:rsidR="001A3EC1" w:rsidRPr="00FF1F97">
        <w:rPr>
          <w:rFonts w:ascii="Century" w:hAnsi="Century"/>
          <w:sz w:val="28"/>
          <w:szCs w:val="28"/>
          <w:lang w:val="uk-UA"/>
        </w:rPr>
        <w:t xml:space="preserve">плати, встановленої законом на </w:t>
      </w:r>
      <w:r w:rsidRPr="00FF1F97">
        <w:rPr>
          <w:rFonts w:ascii="Century" w:hAnsi="Century"/>
          <w:sz w:val="28"/>
          <w:szCs w:val="28"/>
          <w:lang w:val="uk-UA"/>
        </w:rPr>
        <w:t>1 січня звітного (податкового) року, для однієї особи за одну добу тимчасового розміщення;</w:t>
      </w:r>
    </w:p>
    <w:p w14:paraId="6F77649E" w14:textId="77777777" w:rsidR="00B046EC" w:rsidRPr="00FF1F97" w:rsidRDefault="00B046EC" w:rsidP="002C1503">
      <w:pPr>
        <w:pStyle w:val="3"/>
        <w:ind w:right="-5" w:firstLine="900"/>
        <w:jc w:val="both"/>
        <w:rPr>
          <w:rFonts w:ascii="Century" w:hAnsi="Century"/>
          <w:sz w:val="28"/>
          <w:szCs w:val="28"/>
          <w:lang w:val="uk-UA"/>
        </w:rPr>
      </w:pPr>
      <w:r w:rsidRPr="00FF1F97">
        <w:rPr>
          <w:rFonts w:ascii="Century" w:hAnsi="Century"/>
          <w:sz w:val="28"/>
          <w:szCs w:val="28"/>
          <w:lang w:val="uk-UA"/>
        </w:rPr>
        <w:t>- ставку збору за місця для паркування транспортних засобів 0,</w:t>
      </w:r>
      <w:r w:rsidR="00307525" w:rsidRPr="00FF1F97">
        <w:rPr>
          <w:rFonts w:ascii="Century" w:hAnsi="Century"/>
          <w:sz w:val="28"/>
          <w:szCs w:val="28"/>
          <w:lang w:val="uk-UA"/>
        </w:rPr>
        <w:t>075</w:t>
      </w:r>
      <w:r w:rsidRPr="00FF1F97">
        <w:rPr>
          <w:rFonts w:ascii="Century" w:hAnsi="Century"/>
          <w:sz w:val="28"/>
          <w:szCs w:val="28"/>
          <w:lang w:val="uk-UA"/>
        </w:rPr>
        <w:t xml:space="preserve"> відсотка мінімальної заробітної плати, установленої законом на 1 </w:t>
      </w:r>
      <w:r w:rsidRPr="00FF1F97">
        <w:rPr>
          <w:rFonts w:ascii="Century" w:hAnsi="Century"/>
          <w:sz w:val="28"/>
          <w:szCs w:val="28"/>
          <w:lang w:val="uk-UA"/>
        </w:rPr>
        <w:lastRenderedPageBreak/>
        <w:t>січня податкового (звітного) року, за кожний день провадження діяльності із забезпечення паркування транспортних засобів у гривнях за 1 квадратний метр площі земельної ділянки, відведеної для організації та провадження такої діяльності</w:t>
      </w:r>
      <w:r w:rsidR="00062AE0" w:rsidRPr="00FF1F97">
        <w:rPr>
          <w:rFonts w:ascii="Century" w:hAnsi="Century"/>
          <w:sz w:val="28"/>
          <w:szCs w:val="28"/>
          <w:lang w:val="uk-UA"/>
        </w:rPr>
        <w:t>.</w:t>
      </w:r>
    </w:p>
    <w:p w14:paraId="525BE6C7" w14:textId="77777777" w:rsidR="00B11785" w:rsidRPr="00FF1F97" w:rsidRDefault="00B11785" w:rsidP="002C1503">
      <w:pPr>
        <w:pStyle w:val="StyleZakonu"/>
        <w:spacing w:after="0" w:line="240" w:lineRule="auto"/>
        <w:ind w:firstLine="0"/>
        <w:rPr>
          <w:rFonts w:ascii="Century" w:hAnsi="Century"/>
          <w:sz w:val="28"/>
          <w:szCs w:val="28"/>
        </w:rPr>
      </w:pPr>
      <w:r w:rsidRPr="00FF1F97">
        <w:rPr>
          <w:rFonts w:ascii="Century" w:hAnsi="Century"/>
          <w:sz w:val="28"/>
          <w:szCs w:val="28"/>
        </w:rPr>
        <w:t>2.</w:t>
      </w:r>
      <w:r w:rsidR="002C1503" w:rsidRPr="00FF1F97">
        <w:rPr>
          <w:rFonts w:ascii="Century" w:hAnsi="Century"/>
          <w:sz w:val="28"/>
          <w:szCs w:val="28"/>
        </w:rPr>
        <w:tab/>
      </w:r>
      <w:r w:rsidRPr="00FF1F97">
        <w:rPr>
          <w:rFonts w:ascii="Century" w:hAnsi="Century"/>
          <w:sz w:val="28"/>
          <w:szCs w:val="28"/>
        </w:rPr>
        <w:t>Затвердити Положення про порядок обчислення та сплати місцевих податків і зборів:</w:t>
      </w:r>
    </w:p>
    <w:p w14:paraId="2AB130FE" w14:textId="77777777" w:rsidR="00B11785" w:rsidRPr="00FF1F97" w:rsidRDefault="00B11785" w:rsidP="002C1503">
      <w:pPr>
        <w:pStyle w:val="rvps2"/>
        <w:spacing w:before="0" w:beforeAutospacing="0" w:after="0" w:afterAutospacing="0"/>
        <w:ind w:firstLine="851"/>
        <w:jc w:val="both"/>
        <w:rPr>
          <w:rFonts w:ascii="Century" w:hAnsi="Century"/>
          <w:sz w:val="28"/>
          <w:szCs w:val="28"/>
        </w:rPr>
      </w:pPr>
      <w:r w:rsidRPr="00FF1F97">
        <w:rPr>
          <w:rFonts w:ascii="Century" w:hAnsi="Century"/>
          <w:sz w:val="28"/>
          <w:szCs w:val="28"/>
        </w:rPr>
        <w:t xml:space="preserve">2.1. Положення про транспортний податок </w:t>
      </w:r>
      <w:r w:rsidR="00C30B0A" w:rsidRPr="00FF1F97">
        <w:rPr>
          <w:rStyle w:val="rvts9"/>
          <w:rFonts w:ascii="Century" w:hAnsi="Century"/>
          <w:bCs/>
          <w:sz w:val="28"/>
          <w:szCs w:val="28"/>
        </w:rPr>
        <w:t>на території Городоцької міської ради Львівської області з 1 січня 2022 року</w:t>
      </w:r>
      <w:r w:rsidR="003733B4" w:rsidRPr="00FF1F97">
        <w:rPr>
          <w:rStyle w:val="rvts9"/>
          <w:rFonts w:ascii="Century" w:hAnsi="Century"/>
          <w:bCs/>
          <w:sz w:val="28"/>
          <w:szCs w:val="28"/>
        </w:rPr>
        <w:t>,</w:t>
      </w:r>
      <w:r w:rsidR="00C30B0A" w:rsidRPr="00FF1F97">
        <w:rPr>
          <w:rStyle w:val="rvts9"/>
          <w:rFonts w:ascii="Century" w:hAnsi="Century"/>
          <w:bCs/>
          <w:sz w:val="28"/>
          <w:szCs w:val="28"/>
        </w:rPr>
        <w:t xml:space="preserve"> </w:t>
      </w:r>
      <w:r w:rsidRPr="00FF1F97">
        <w:rPr>
          <w:rFonts w:ascii="Century" w:hAnsi="Century"/>
          <w:sz w:val="28"/>
          <w:szCs w:val="28"/>
        </w:rPr>
        <w:t xml:space="preserve">згідно з додатком </w:t>
      </w:r>
      <w:r w:rsidR="00C30B0A" w:rsidRPr="00FF1F97">
        <w:rPr>
          <w:rFonts w:ascii="Century" w:hAnsi="Century"/>
          <w:sz w:val="28"/>
          <w:szCs w:val="28"/>
        </w:rPr>
        <w:t xml:space="preserve">№ </w:t>
      </w:r>
      <w:r w:rsidRPr="00FF1F97">
        <w:rPr>
          <w:rFonts w:ascii="Century" w:hAnsi="Century"/>
          <w:sz w:val="28"/>
          <w:szCs w:val="28"/>
        </w:rPr>
        <w:t xml:space="preserve">1 </w:t>
      </w:r>
      <w:r w:rsidR="00C30B0A" w:rsidRPr="00FF1F97">
        <w:rPr>
          <w:rFonts w:ascii="Century" w:hAnsi="Century"/>
          <w:sz w:val="28"/>
          <w:szCs w:val="28"/>
        </w:rPr>
        <w:t xml:space="preserve">даного </w:t>
      </w:r>
      <w:r w:rsidRPr="00FF1F97">
        <w:rPr>
          <w:rFonts w:ascii="Century" w:hAnsi="Century"/>
          <w:sz w:val="28"/>
          <w:szCs w:val="28"/>
        </w:rPr>
        <w:t>рішення</w:t>
      </w:r>
      <w:r w:rsidR="00073C93" w:rsidRPr="00FF1F97">
        <w:rPr>
          <w:rFonts w:ascii="Century" w:hAnsi="Century"/>
          <w:sz w:val="28"/>
          <w:szCs w:val="28"/>
        </w:rPr>
        <w:t>;</w:t>
      </w:r>
    </w:p>
    <w:p w14:paraId="6AB14BCD" w14:textId="77777777" w:rsidR="00C30B0A" w:rsidRPr="00FF1F97" w:rsidRDefault="00B11785" w:rsidP="002C1503">
      <w:pPr>
        <w:pStyle w:val="rvps2"/>
        <w:spacing w:before="0" w:beforeAutospacing="0" w:after="0" w:afterAutospacing="0"/>
        <w:ind w:firstLine="851"/>
        <w:jc w:val="both"/>
        <w:rPr>
          <w:rFonts w:ascii="Century" w:hAnsi="Century"/>
          <w:sz w:val="28"/>
          <w:szCs w:val="28"/>
        </w:rPr>
      </w:pPr>
      <w:r w:rsidRPr="00FF1F97">
        <w:rPr>
          <w:rFonts w:ascii="Century" w:hAnsi="Century"/>
          <w:sz w:val="28"/>
          <w:szCs w:val="28"/>
        </w:rPr>
        <w:t xml:space="preserve">2.2. Положення про туристичний збір </w:t>
      </w:r>
      <w:r w:rsidR="00C30B0A" w:rsidRPr="00FF1F97">
        <w:rPr>
          <w:rStyle w:val="rvts9"/>
          <w:rFonts w:ascii="Century" w:hAnsi="Century"/>
          <w:bCs/>
          <w:sz w:val="28"/>
          <w:szCs w:val="28"/>
        </w:rPr>
        <w:t>на території Городоцької міської ради Львівської області з 1 січня 2022 року</w:t>
      </w:r>
      <w:r w:rsidR="003733B4" w:rsidRPr="00FF1F97">
        <w:rPr>
          <w:rStyle w:val="rvts9"/>
          <w:rFonts w:ascii="Century" w:hAnsi="Century"/>
          <w:bCs/>
          <w:sz w:val="28"/>
          <w:szCs w:val="28"/>
        </w:rPr>
        <w:t>,</w:t>
      </w:r>
      <w:r w:rsidR="00C30B0A" w:rsidRPr="00FF1F97">
        <w:rPr>
          <w:rStyle w:val="rvts9"/>
          <w:rFonts w:ascii="Century" w:hAnsi="Century"/>
          <w:bCs/>
          <w:sz w:val="28"/>
          <w:szCs w:val="28"/>
        </w:rPr>
        <w:t xml:space="preserve"> </w:t>
      </w:r>
      <w:r w:rsidR="00C30B0A" w:rsidRPr="00FF1F97">
        <w:rPr>
          <w:rFonts w:ascii="Century" w:hAnsi="Century"/>
          <w:sz w:val="28"/>
          <w:szCs w:val="28"/>
        </w:rPr>
        <w:t xml:space="preserve">згідно з додатком № </w:t>
      </w:r>
      <w:r w:rsidR="003733B4" w:rsidRPr="00FF1F97">
        <w:rPr>
          <w:rFonts w:ascii="Century" w:hAnsi="Century"/>
          <w:sz w:val="28"/>
          <w:szCs w:val="28"/>
        </w:rPr>
        <w:t>2</w:t>
      </w:r>
      <w:r w:rsidR="00C30B0A" w:rsidRPr="00FF1F97">
        <w:rPr>
          <w:rFonts w:ascii="Century" w:hAnsi="Century"/>
          <w:sz w:val="28"/>
          <w:szCs w:val="28"/>
        </w:rPr>
        <w:t xml:space="preserve"> даного рішення;</w:t>
      </w:r>
    </w:p>
    <w:p w14:paraId="2EB5D4E9" w14:textId="77777777" w:rsidR="00C30B0A" w:rsidRPr="00FF1F97" w:rsidRDefault="00B11785" w:rsidP="002C1503">
      <w:pPr>
        <w:pStyle w:val="rvps2"/>
        <w:spacing w:before="0" w:beforeAutospacing="0" w:after="0" w:afterAutospacing="0"/>
        <w:ind w:firstLine="851"/>
        <w:jc w:val="both"/>
        <w:rPr>
          <w:rFonts w:ascii="Century" w:hAnsi="Century"/>
          <w:sz w:val="28"/>
          <w:szCs w:val="28"/>
        </w:rPr>
      </w:pPr>
      <w:r w:rsidRPr="00FF1F97">
        <w:rPr>
          <w:rFonts w:ascii="Century" w:hAnsi="Century"/>
          <w:sz w:val="28"/>
          <w:szCs w:val="28"/>
        </w:rPr>
        <w:t xml:space="preserve">2.3. Положення про збір за місця для паркування транспортних засобів </w:t>
      </w:r>
      <w:r w:rsidR="00C30B0A" w:rsidRPr="00FF1F97">
        <w:rPr>
          <w:rStyle w:val="rvts9"/>
          <w:rFonts w:ascii="Century" w:hAnsi="Century"/>
          <w:bCs/>
          <w:sz w:val="28"/>
          <w:szCs w:val="28"/>
        </w:rPr>
        <w:t>на території Городоцької міської ради Львівської області з 1 січня 2022 року</w:t>
      </w:r>
      <w:r w:rsidR="003733B4" w:rsidRPr="00FF1F97">
        <w:rPr>
          <w:rStyle w:val="rvts9"/>
          <w:rFonts w:ascii="Century" w:hAnsi="Century"/>
          <w:bCs/>
          <w:sz w:val="28"/>
          <w:szCs w:val="28"/>
        </w:rPr>
        <w:t>,</w:t>
      </w:r>
      <w:r w:rsidR="00C30B0A" w:rsidRPr="00FF1F97">
        <w:rPr>
          <w:rStyle w:val="rvts9"/>
          <w:rFonts w:ascii="Century" w:hAnsi="Century"/>
          <w:bCs/>
          <w:sz w:val="28"/>
          <w:szCs w:val="28"/>
        </w:rPr>
        <w:t xml:space="preserve"> </w:t>
      </w:r>
      <w:r w:rsidR="00C30B0A" w:rsidRPr="00FF1F97">
        <w:rPr>
          <w:rFonts w:ascii="Century" w:hAnsi="Century"/>
          <w:sz w:val="28"/>
          <w:szCs w:val="28"/>
        </w:rPr>
        <w:t xml:space="preserve">згідно з додатком № </w:t>
      </w:r>
      <w:r w:rsidR="003733B4" w:rsidRPr="00FF1F97">
        <w:rPr>
          <w:rFonts w:ascii="Century" w:hAnsi="Century"/>
          <w:sz w:val="28"/>
          <w:szCs w:val="28"/>
        </w:rPr>
        <w:t>3</w:t>
      </w:r>
      <w:r w:rsidR="00C30B0A" w:rsidRPr="00FF1F97">
        <w:rPr>
          <w:rFonts w:ascii="Century" w:hAnsi="Century"/>
          <w:sz w:val="28"/>
          <w:szCs w:val="28"/>
        </w:rPr>
        <w:t xml:space="preserve"> даного рішення</w:t>
      </w:r>
      <w:r w:rsidR="003733B4" w:rsidRPr="00FF1F97">
        <w:rPr>
          <w:rFonts w:ascii="Century" w:hAnsi="Century"/>
          <w:sz w:val="28"/>
          <w:szCs w:val="28"/>
        </w:rPr>
        <w:t>.</w:t>
      </w:r>
    </w:p>
    <w:p w14:paraId="10B5B588" w14:textId="77777777" w:rsidR="003C4AB4" w:rsidRPr="00FF1F97" w:rsidRDefault="003C4AB4" w:rsidP="002C1503">
      <w:pPr>
        <w:pStyle w:val="StyleZakonu"/>
        <w:spacing w:after="0" w:line="240" w:lineRule="auto"/>
        <w:ind w:firstLine="851"/>
        <w:rPr>
          <w:rFonts w:ascii="Century" w:hAnsi="Century"/>
          <w:sz w:val="28"/>
          <w:szCs w:val="28"/>
        </w:rPr>
      </w:pPr>
    </w:p>
    <w:p w14:paraId="2601CF71" w14:textId="77777777" w:rsidR="00B046EC" w:rsidRPr="00FF1F97" w:rsidRDefault="00B11785" w:rsidP="002C1503">
      <w:pPr>
        <w:pStyle w:val="StyleZakonu"/>
        <w:spacing w:after="0" w:line="240" w:lineRule="auto"/>
        <w:ind w:firstLine="0"/>
        <w:rPr>
          <w:rFonts w:ascii="Century" w:hAnsi="Century"/>
          <w:sz w:val="28"/>
          <w:szCs w:val="28"/>
        </w:rPr>
      </w:pPr>
      <w:r w:rsidRPr="00FF1F97">
        <w:rPr>
          <w:rFonts w:ascii="Century" w:hAnsi="Century"/>
          <w:sz w:val="28"/>
          <w:szCs w:val="28"/>
        </w:rPr>
        <w:t>3</w:t>
      </w:r>
      <w:r w:rsidR="00B046EC" w:rsidRPr="00FF1F97">
        <w:rPr>
          <w:rFonts w:ascii="Century" w:hAnsi="Century"/>
          <w:sz w:val="28"/>
          <w:szCs w:val="28"/>
        </w:rPr>
        <w:t>.</w:t>
      </w:r>
      <w:r w:rsidR="002C1503" w:rsidRPr="00FF1F97">
        <w:rPr>
          <w:rFonts w:ascii="Century" w:hAnsi="Century"/>
          <w:sz w:val="28"/>
          <w:szCs w:val="28"/>
        </w:rPr>
        <w:tab/>
      </w:r>
      <w:r w:rsidR="00B046EC" w:rsidRPr="00FF1F97">
        <w:rPr>
          <w:rFonts w:ascii="Century" w:hAnsi="Century"/>
          <w:sz w:val="28"/>
          <w:szCs w:val="28"/>
          <w:lang w:eastAsia="ar-SA"/>
        </w:rPr>
        <w:t>Питання, які неврегульовані цим рішенням, регулюються Податковим кодексом України.</w:t>
      </w:r>
    </w:p>
    <w:p w14:paraId="2E7FDBE6" w14:textId="77777777" w:rsidR="00B046EC" w:rsidRPr="00FF1F97" w:rsidRDefault="00B046EC" w:rsidP="002C1503">
      <w:pPr>
        <w:jc w:val="both"/>
        <w:rPr>
          <w:rFonts w:ascii="Century" w:hAnsi="Century"/>
          <w:sz w:val="28"/>
          <w:szCs w:val="28"/>
          <w:lang w:val="uk-UA"/>
        </w:rPr>
      </w:pPr>
    </w:p>
    <w:p w14:paraId="7A23C2B8" w14:textId="77777777" w:rsidR="00B046EC" w:rsidRPr="00FF1F97" w:rsidRDefault="00B11785" w:rsidP="002C1503">
      <w:pPr>
        <w:jc w:val="both"/>
        <w:rPr>
          <w:rFonts w:ascii="Century" w:hAnsi="Century"/>
          <w:sz w:val="28"/>
          <w:szCs w:val="28"/>
          <w:lang w:val="uk-UA"/>
        </w:rPr>
      </w:pPr>
      <w:r w:rsidRPr="00FF1F97">
        <w:rPr>
          <w:rFonts w:ascii="Century" w:hAnsi="Century"/>
          <w:sz w:val="28"/>
          <w:szCs w:val="28"/>
          <w:lang w:val="uk-UA"/>
        </w:rPr>
        <w:t>4</w:t>
      </w:r>
      <w:r w:rsidR="00B046EC" w:rsidRPr="00FF1F97">
        <w:rPr>
          <w:rFonts w:ascii="Century" w:hAnsi="Century"/>
          <w:sz w:val="28"/>
          <w:szCs w:val="28"/>
          <w:lang w:val="uk-UA"/>
        </w:rPr>
        <w:t>.</w:t>
      </w:r>
      <w:r w:rsidR="002C1503" w:rsidRPr="00FF1F97">
        <w:rPr>
          <w:rFonts w:ascii="Century" w:hAnsi="Century"/>
          <w:sz w:val="28"/>
          <w:szCs w:val="28"/>
          <w:lang w:val="uk-UA"/>
        </w:rPr>
        <w:tab/>
      </w:r>
      <w:r w:rsidR="001A3EC1" w:rsidRPr="00FF1F97">
        <w:rPr>
          <w:rFonts w:ascii="Century" w:hAnsi="Century"/>
          <w:sz w:val="28"/>
          <w:szCs w:val="28"/>
          <w:lang w:val="uk-UA"/>
        </w:rPr>
        <w:t xml:space="preserve">Це рішення набирає чинності з </w:t>
      </w:r>
      <w:r w:rsidR="00B046EC" w:rsidRPr="00FF1F97">
        <w:rPr>
          <w:rFonts w:ascii="Century" w:hAnsi="Century"/>
          <w:sz w:val="28"/>
          <w:szCs w:val="28"/>
          <w:lang w:val="uk-UA"/>
        </w:rPr>
        <w:t>1 січня  202</w:t>
      </w:r>
      <w:r w:rsidR="00073C93" w:rsidRPr="00FF1F97">
        <w:rPr>
          <w:rFonts w:ascii="Century" w:hAnsi="Century"/>
          <w:sz w:val="28"/>
          <w:szCs w:val="28"/>
          <w:lang w:val="uk-UA"/>
        </w:rPr>
        <w:t>2</w:t>
      </w:r>
      <w:r w:rsidR="00B046EC" w:rsidRPr="00FF1F97">
        <w:rPr>
          <w:rFonts w:ascii="Century" w:hAnsi="Century"/>
          <w:sz w:val="28"/>
          <w:szCs w:val="28"/>
          <w:lang w:val="uk-UA"/>
        </w:rPr>
        <w:t xml:space="preserve"> року</w:t>
      </w:r>
      <w:r w:rsidR="00CB6735" w:rsidRPr="00FF1F97">
        <w:rPr>
          <w:rFonts w:ascii="Century" w:hAnsi="Century"/>
          <w:sz w:val="28"/>
          <w:szCs w:val="28"/>
          <w:lang w:val="uk-UA"/>
        </w:rPr>
        <w:t xml:space="preserve"> та діє </w:t>
      </w:r>
      <w:r w:rsidR="00062AE0" w:rsidRPr="00FF1F97">
        <w:rPr>
          <w:rFonts w:ascii="Century" w:hAnsi="Century"/>
          <w:sz w:val="28"/>
          <w:szCs w:val="28"/>
          <w:lang w:val="uk-UA"/>
        </w:rPr>
        <w:t>до прийняття нового рішення.</w:t>
      </w:r>
    </w:p>
    <w:p w14:paraId="48F20793" w14:textId="77777777" w:rsidR="005E6986" w:rsidRPr="00FF1F97" w:rsidRDefault="005E6986" w:rsidP="002C1503">
      <w:pPr>
        <w:jc w:val="both"/>
        <w:rPr>
          <w:rFonts w:ascii="Century" w:hAnsi="Century"/>
          <w:sz w:val="28"/>
          <w:szCs w:val="28"/>
          <w:lang w:val="uk-UA"/>
        </w:rPr>
      </w:pPr>
    </w:p>
    <w:p w14:paraId="081980A0" w14:textId="77777777" w:rsidR="002C1503" w:rsidRPr="00FF1F97" w:rsidRDefault="002C1503" w:rsidP="002C1503">
      <w:pPr>
        <w:jc w:val="both"/>
        <w:rPr>
          <w:rFonts w:ascii="Century" w:hAnsi="Century"/>
          <w:sz w:val="28"/>
          <w:szCs w:val="28"/>
          <w:lang w:val="uk-UA"/>
        </w:rPr>
      </w:pPr>
      <w:r w:rsidRPr="00FF1F97">
        <w:rPr>
          <w:rFonts w:ascii="Century" w:hAnsi="Century"/>
          <w:sz w:val="28"/>
          <w:szCs w:val="28"/>
          <w:lang w:val="uk-UA"/>
        </w:rPr>
        <w:t>5.</w:t>
      </w:r>
      <w:r w:rsidRPr="00FF1F97">
        <w:rPr>
          <w:rFonts w:ascii="Century" w:hAnsi="Century"/>
          <w:sz w:val="28"/>
          <w:szCs w:val="28"/>
          <w:lang w:val="uk-UA"/>
        </w:rPr>
        <w:tab/>
        <w:t>Визнати таким, що втратили чинність, рішення сесії міської ради від 12 червня 2020 року № 2832 „</w:t>
      </w:r>
      <w:r w:rsidRPr="00FF1F97">
        <w:rPr>
          <w:rStyle w:val="rvts0"/>
          <w:rFonts w:ascii="Century" w:hAnsi="Century"/>
          <w:sz w:val="28"/>
          <w:szCs w:val="28"/>
          <w:lang w:val="uk-UA"/>
        </w:rPr>
        <w:t xml:space="preserve">Про встановлення місцевих податків і зборів та визначення розмірів їх ставок на території Городоцької міської ради на 2021 рік </w:t>
      </w:r>
      <w:r w:rsidRPr="00FF1F97">
        <w:rPr>
          <w:rFonts w:ascii="Century" w:hAnsi="Century"/>
          <w:sz w:val="28"/>
          <w:szCs w:val="28"/>
          <w:lang w:val="uk-UA"/>
        </w:rPr>
        <w:t>” з 1 січня 2021 року.</w:t>
      </w:r>
    </w:p>
    <w:p w14:paraId="55683505" w14:textId="77777777" w:rsidR="002C1503" w:rsidRPr="00FF1F97" w:rsidRDefault="002C1503" w:rsidP="002C1503">
      <w:pPr>
        <w:jc w:val="both"/>
        <w:rPr>
          <w:rFonts w:ascii="Century" w:hAnsi="Century"/>
          <w:sz w:val="28"/>
          <w:szCs w:val="28"/>
          <w:lang w:val="uk-UA"/>
        </w:rPr>
      </w:pPr>
    </w:p>
    <w:p w14:paraId="19C6D1D1" w14:textId="77777777" w:rsidR="00DB39C0" w:rsidRPr="00FF1F97" w:rsidRDefault="00073C93" w:rsidP="002C1503">
      <w:pPr>
        <w:jc w:val="both"/>
        <w:rPr>
          <w:rFonts w:ascii="Century" w:hAnsi="Century"/>
          <w:sz w:val="28"/>
          <w:szCs w:val="28"/>
          <w:lang w:val="uk-UA"/>
        </w:rPr>
      </w:pPr>
      <w:r w:rsidRPr="00FF1F97">
        <w:rPr>
          <w:rFonts w:ascii="Century" w:hAnsi="Century"/>
          <w:sz w:val="28"/>
          <w:szCs w:val="28"/>
          <w:lang w:val="uk-UA"/>
        </w:rPr>
        <w:t xml:space="preserve">6. </w:t>
      </w:r>
      <w:r w:rsidR="002C1503" w:rsidRPr="00FF1F97">
        <w:rPr>
          <w:rFonts w:ascii="Century" w:hAnsi="Century"/>
          <w:sz w:val="28"/>
          <w:szCs w:val="28"/>
          <w:lang w:val="uk-UA"/>
        </w:rPr>
        <w:tab/>
      </w:r>
      <w:r w:rsidR="00DB39C0" w:rsidRPr="00FF1F97">
        <w:rPr>
          <w:rFonts w:ascii="Century" w:hAnsi="Century"/>
          <w:sz w:val="28"/>
          <w:szCs w:val="28"/>
          <w:lang w:val="uk-UA"/>
        </w:rPr>
        <w:t>Секретарю міської ради (</w:t>
      </w:r>
      <w:proofErr w:type="spellStart"/>
      <w:r w:rsidR="00DB39C0" w:rsidRPr="00FF1F97">
        <w:rPr>
          <w:rFonts w:ascii="Century" w:hAnsi="Century"/>
          <w:sz w:val="28"/>
          <w:szCs w:val="28"/>
          <w:lang w:val="uk-UA"/>
        </w:rPr>
        <w:t>М.Лупій</w:t>
      </w:r>
      <w:proofErr w:type="spellEnd"/>
      <w:r w:rsidR="00DB39C0" w:rsidRPr="00FF1F97">
        <w:rPr>
          <w:rFonts w:ascii="Century" w:hAnsi="Century"/>
          <w:sz w:val="28"/>
          <w:szCs w:val="28"/>
          <w:lang w:val="uk-UA"/>
        </w:rPr>
        <w:t>) та провідному спеціалісту в</w:t>
      </w:r>
      <w:r w:rsidR="00DB39C0" w:rsidRPr="00FF1F97">
        <w:rPr>
          <w:rFonts w:ascii="Century" w:hAnsi="Century"/>
          <w:bCs/>
          <w:sz w:val="28"/>
          <w:szCs w:val="28"/>
          <w:lang w:val="uk-UA" w:eastAsia="uk-UA"/>
        </w:rPr>
        <w:t>ідділу документообігу, звернень та організаційно-інформаційної діяльності</w:t>
      </w:r>
      <w:r w:rsidR="00DB39C0" w:rsidRPr="00FF1F97">
        <w:rPr>
          <w:rFonts w:ascii="Century" w:hAnsi="Century"/>
          <w:sz w:val="28"/>
          <w:szCs w:val="28"/>
          <w:lang w:val="uk-UA"/>
        </w:rPr>
        <w:t xml:space="preserve"> (</w:t>
      </w:r>
      <w:proofErr w:type="spellStart"/>
      <w:r w:rsidR="00DB39C0" w:rsidRPr="00FF1F97">
        <w:rPr>
          <w:rFonts w:ascii="Century" w:hAnsi="Century"/>
          <w:sz w:val="28"/>
          <w:szCs w:val="28"/>
          <w:lang w:val="uk-UA"/>
        </w:rPr>
        <w:t>Л.Канцір</w:t>
      </w:r>
      <w:proofErr w:type="spellEnd"/>
      <w:r w:rsidR="00DB39C0" w:rsidRPr="00FF1F97">
        <w:rPr>
          <w:rFonts w:ascii="Century" w:hAnsi="Century"/>
          <w:sz w:val="28"/>
          <w:szCs w:val="28"/>
          <w:lang w:val="uk-UA"/>
        </w:rPr>
        <w:t>) оприлюднити дане рішення на офіційному сайті Городоцької міської ради Львівської області.</w:t>
      </w:r>
    </w:p>
    <w:p w14:paraId="7B6BFFF6" w14:textId="77777777" w:rsidR="00073C93" w:rsidRPr="00FF1F97" w:rsidRDefault="00073C93" w:rsidP="002C1503">
      <w:pPr>
        <w:jc w:val="both"/>
        <w:rPr>
          <w:rFonts w:ascii="Century" w:hAnsi="Century"/>
          <w:sz w:val="28"/>
          <w:szCs w:val="28"/>
          <w:lang w:val="uk-UA"/>
        </w:rPr>
      </w:pPr>
    </w:p>
    <w:p w14:paraId="794773AE" w14:textId="77777777" w:rsidR="00073C93" w:rsidRPr="00FF1F97" w:rsidRDefault="00073C93" w:rsidP="002C1503">
      <w:pPr>
        <w:jc w:val="both"/>
        <w:rPr>
          <w:rFonts w:ascii="Century" w:hAnsi="Century"/>
          <w:sz w:val="28"/>
          <w:szCs w:val="28"/>
          <w:lang w:val="uk-UA"/>
        </w:rPr>
      </w:pPr>
      <w:r w:rsidRPr="00FF1F97">
        <w:rPr>
          <w:rFonts w:ascii="Century" w:hAnsi="Century"/>
          <w:sz w:val="28"/>
          <w:szCs w:val="28"/>
          <w:lang w:val="uk-UA"/>
        </w:rPr>
        <w:t xml:space="preserve">7. </w:t>
      </w:r>
      <w:r w:rsidR="002C1503" w:rsidRPr="00FF1F97">
        <w:rPr>
          <w:rFonts w:ascii="Century" w:hAnsi="Century"/>
          <w:sz w:val="28"/>
          <w:szCs w:val="28"/>
          <w:lang w:val="uk-UA"/>
        </w:rPr>
        <w:tab/>
      </w:r>
      <w:r w:rsidRPr="00FF1F97">
        <w:rPr>
          <w:rFonts w:ascii="Century" w:hAnsi="Century"/>
          <w:sz w:val="28"/>
          <w:szCs w:val="28"/>
          <w:lang w:val="uk-UA"/>
        </w:rPr>
        <w:t>Контроль за виконанням даного рішення покласти на к</w:t>
      </w:r>
      <w:r w:rsidRPr="00FF1F97">
        <w:rPr>
          <w:rFonts w:ascii="Century" w:hAnsi="Century"/>
          <w:bCs/>
          <w:sz w:val="28"/>
          <w:szCs w:val="28"/>
          <w:lang w:val="uk-UA"/>
        </w:rPr>
        <w:t>омісію з питань законності, регламенту, депутатської етики, забезпечення діяльності депутатів</w:t>
      </w:r>
      <w:r w:rsidRPr="00FF1F97">
        <w:rPr>
          <w:rFonts w:ascii="Century" w:hAnsi="Century"/>
          <w:sz w:val="28"/>
          <w:szCs w:val="28"/>
          <w:lang w:val="uk-UA"/>
        </w:rPr>
        <w:t xml:space="preserve"> (</w:t>
      </w:r>
      <w:proofErr w:type="spellStart"/>
      <w:r w:rsidRPr="00FF1F97">
        <w:rPr>
          <w:rFonts w:ascii="Century" w:hAnsi="Century"/>
          <w:sz w:val="28"/>
          <w:szCs w:val="28"/>
          <w:lang w:val="uk-UA"/>
        </w:rPr>
        <w:t>гол.О.Карапінка</w:t>
      </w:r>
      <w:proofErr w:type="spellEnd"/>
      <w:r w:rsidRPr="00FF1F97">
        <w:rPr>
          <w:rFonts w:ascii="Century" w:hAnsi="Century"/>
          <w:sz w:val="28"/>
          <w:szCs w:val="28"/>
          <w:lang w:val="uk-UA"/>
        </w:rPr>
        <w:t>) та постійну комісію з питань</w:t>
      </w:r>
      <w:r w:rsidRPr="00FF1F97">
        <w:rPr>
          <w:rFonts w:ascii="Century" w:hAnsi="Century"/>
          <w:bCs/>
          <w:sz w:val="28"/>
          <w:szCs w:val="28"/>
          <w:lang w:val="uk-UA"/>
        </w:rPr>
        <w:t xml:space="preserve"> </w:t>
      </w:r>
      <w:r w:rsidRPr="00FF1F97">
        <w:rPr>
          <w:rFonts w:ascii="Century" w:hAnsi="Century"/>
          <w:bCs/>
          <w:sz w:val="28"/>
          <w:szCs w:val="28"/>
          <w:shd w:val="clear" w:color="auto" w:fill="FFFFFF"/>
          <w:lang w:val="uk-UA"/>
        </w:rPr>
        <w:t>бюджету, соціально-економічного розвитку, комунального майна і приватизації (</w:t>
      </w:r>
      <w:proofErr w:type="spellStart"/>
      <w:r w:rsidRPr="00FF1F97">
        <w:rPr>
          <w:rFonts w:ascii="Century" w:hAnsi="Century"/>
          <w:bCs/>
          <w:sz w:val="28"/>
          <w:szCs w:val="28"/>
          <w:shd w:val="clear" w:color="auto" w:fill="FFFFFF"/>
          <w:lang w:val="uk-UA"/>
        </w:rPr>
        <w:t>гол.І.Мєскало</w:t>
      </w:r>
      <w:proofErr w:type="spellEnd"/>
      <w:r w:rsidRPr="00FF1F97">
        <w:rPr>
          <w:rFonts w:ascii="Century" w:hAnsi="Century"/>
          <w:bCs/>
          <w:sz w:val="28"/>
          <w:szCs w:val="28"/>
          <w:shd w:val="clear" w:color="auto" w:fill="FFFFFF"/>
          <w:lang w:val="uk-UA"/>
        </w:rPr>
        <w:t>)</w:t>
      </w:r>
      <w:r w:rsidRPr="00FF1F97">
        <w:rPr>
          <w:rFonts w:ascii="Century" w:hAnsi="Century"/>
          <w:sz w:val="28"/>
          <w:szCs w:val="28"/>
          <w:lang w:val="uk-UA"/>
        </w:rPr>
        <w:t>.</w:t>
      </w:r>
    </w:p>
    <w:p w14:paraId="452DC908" w14:textId="77777777" w:rsidR="00073C93" w:rsidRPr="00FF1F97" w:rsidRDefault="00073C93" w:rsidP="00B046EC">
      <w:pPr>
        <w:tabs>
          <w:tab w:val="left" w:pos="900"/>
          <w:tab w:val="left" w:pos="1080"/>
        </w:tabs>
        <w:jc w:val="both"/>
        <w:rPr>
          <w:rFonts w:ascii="Century" w:hAnsi="Century"/>
          <w:sz w:val="28"/>
          <w:szCs w:val="28"/>
          <w:lang w:val="uk-UA"/>
        </w:rPr>
      </w:pPr>
    </w:p>
    <w:p w14:paraId="08860443" w14:textId="77777777" w:rsidR="00B046EC" w:rsidRPr="00FF1F97" w:rsidRDefault="00B046EC" w:rsidP="00B046EC">
      <w:pPr>
        <w:tabs>
          <w:tab w:val="left" w:pos="900"/>
          <w:tab w:val="left" w:pos="1080"/>
        </w:tabs>
        <w:jc w:val="both"/>
        <w:rPr>
          <w:rFonts w:ascii="Century" w:hAnsi="Century"/>
          <w:sz w:val="28"/>
          <w:szCs w:val="28"/>
          <w:lang w:val="uk-UA"/>
        </w:rPr>
      </w:pPr>
    </w:p>
    <w:p w14:paraId="185E3557" w14:textId="77777777" w:rsidR="00073C93" w:rsidRPr="00FF1F97" w:rsidRDefault="00073C93" w:rsidP="00073C93">
      <w:pPr>
        <w:tabs>
          <w:tab w:val="left" w:pos="900"/>
          <w:tab w:val="left" w:pos="1080"/>
        </w:tabs>
        <w:jc w:val="both"/>
        <w:rPr>
          <w:rFonts w:ascii="Century" w:hAnsi="Century"/>
          <w:b/>
          <w:sz w:val="28"/>
          <w:szCs w:val="28"/>
          <w:lang w:val="uk-UA"/>
        </w:rPr>
      </w:pPr>
      <w:r w:rsidRPr="00FF1F97">
        <w:rPr>
          <w:rFonts w:ascii="Century" w:hAnsi="Century"/>
          <w:b/>
          <w:sz w:val="28"/>
          <w:szCs w:val="28"/>
          <w:lang w:val="uk-UA"/>
        </w:rPr>
        <w:t>Міський голова</w:t>
      </w:r>
      <w:r w:rsidRPr="00FF1F97">
        <w:rPr>
          <w:rFonts w:ascii="Century" w:hAnsi="Century"/>
          <w:b/>
          <w:sz w:val="28"/>
          <w:szCs w:val="28"/>
          <w:lang w:val="uk-UA"/>
        </w:rPr>
        <w:tab/>
      </w:r>
      <w:r w:rsidRPr="00FF1F97">
        <w:rPr>
          <w:rFonts w:ascii="Century" w:hAnsi="Century"/>
          <w:b/>
          <w:sz w:val="28"/>
          <w:szCs w:val="28"/>
          <w:lang w:val="uk-UA"/>
        </w:rPr>
        <w:tab/>
      </w:r>
      <w:r w:rsidRPr="00FF1F97">
        <w:rPr>
          <w:rFonts w:ascii="Century" w:hAnsi="Century"/>
          <w:b/>
          <w:sz w:val="28"/>
          <w:szCs w:val="28"/>
          <w:lang w:val="uk-UA"/>
        </w:rPr>
        <w:tab/>
      </w:r>
      <w:r w:rsidRPr="00FF1F97">
        <w:rPr>
          <w:rFonts w:ascii="Century" w:hAnsi="Century"/>
          <w:b/>
          <w:sz w:val="28"/>
          <w:szCs w:val="28"/>
          <w:lang w:val="uk-UA"/>
        </w:rPr>
        <w:tab/>
      </w:r>
      <w:r w:rsidRPr="00FF1F97">
        <w:rPr>
          <w:rFonts w:ascii="Century" w:hAnsi="Century"/>
          <w:b/>
          <w:sz w:val="28"/>
          <w:szCs w:val="28"/>
          <w:lang w:val="uk-UA"/>
        </w:rPr>
        <w:tab/>
      </w:r>
      <w:r w:rsidRPr="00FF1F97">
        <w:rPr>
          <w:rFonts w:ascii="Century" w:hAnsi="Century"/>
          <w:b/>
          <w:sz w:val="28"/>
          <w:szCs w:val="28"/>
          <w:lang w:val="uk-UA"/>
        </w:rPr>
        <w:tab/>
      </w:r>
      <w:r w:rsidRPr="00FF1F97">
        <w:rPr>
          <w:rFonts w:ascii="Century" w:hAnsi="Century"/>
          <w:b/>
          <w:sz w:val="28"/>
          <w:szCs w:val="28"/>
          <w:lang w:val="uk-UA"/>
        </w:rPr>
        <w:tab/>
        <w:t>Володимир РЕМЕНЯК</w:t>
      </w:r>
    </w:p>
    <w:p w14:paraId="71310A84" w14:textId="77777777" w:rsidR="00B046EC" w:rsidRPr="00FF1F97" w:rsidRDefault="00B046EC">
      <w:pPr>
        <w:rPr>
          <w:rFonts w:ascii="Century" w:hAnsi="Century"/>
          <w:lang w:val="uk-UA"/>
        </w:rPr>
      </w:pPr>
    </w:p>
    <w:p w14:paraId="016D67D6" w14:textId="77777777" w:rsidR="00B11785" w:rsidRPr="00FF1F97" w:rsidRDefault="00B11785">
      <w:pPr>
        <w:rPr>
          <w:rFonts w:ascii="Century" w:hAnsi="Century"/>
          <w:lang w:val="uk-UA"/>
        </w:rPr>
      </w:pPr>
    </w:p>
    <w:p w14:paraId="5D353636" w14:textId="77777777" w:rsidR="00B11785" w:rsidRPr="00FF1F97" w:rsidRDefault="00B11785">
      <w:pPr>
        <w:rPr>
          <w:rFonts w:ascii="Century" w:hAnsi="Century"/>
          <w:lang w:val="uk-UA"/>
        </w:rPr>
      </w:pPr>
    </w:p>
    <w:p w14:paraId="5D6D9BAB" w14:textId="77777777" w:rsidR="003C4AB4" w:rsidRPr="00FF1F97" w:rsidRDefault="008A525F" w:rsidP="008A525F">
      <w:pPr>
        <w:pStyle w:val="rvps2"/>
        <w:shd w:val="clear" w:color="auto" w:fill="FFFFFF"/>
        <w:spacing w:before="0" w:beforeAutospacing="0" w:after="0" w:afterAutospacing="0"/>
        <w:ind w:left="5245"/>
        <w:rPr>
          <w:rStyle w:val="rvts9"/>
          <w:rFonts w:ascii="Century" w:hAnsi="Century"/>
          <w:b/>
        </w:rPr>
      </w:pPr>
      <w:r w:rsidRPr="00FF1F97">
        <w:rPr>
          <w:rStyle w:val="rvts9"/>
          <w:rFonts w:ascii="Century" w:hAnsi="Century"/>
          <w:b/>
        </w:rPr>
        <w:lastRenderedPageBreak/>
        <w:t>Додаток 1</w:t>
      </w:r>
    </w:p>
    <w:p w14:paraId="50F9E38F" w14:textId="77777777" w:rsidR="008A525F" w:rsidRPr="00FF1F97" w:rsidRDefault="008A525F" w:rsidP="008A525F">
      <w:pPr>
        <w:pStyle w:val="rvps2"/>
        <w:shd w:val="clear" w:color="auto" w:fill="FFFFFF"/>
        <w:spacing w:before="0" w:beforeAutospacing="0" w:after="0" w:afterAutospacing="0"/>
        <w:ind w:left="5245"/>
        <w:rPr>
          <w:rStyle w:val="rvts9"/>
          <w:rFonts w:ascii="Century" w:hAnsi="Century"/>
          <w:bCs/>
        </w:rPr>
      </w:pPr>
      <w:r w:rsidRPr="00FF1F97">
        <w:rPr>
          <w:rStyle w:val="rvts9"/>
          <w:rFonts w:ascii="Century" w:hAnsi="Century"/>
          <w:bCs/>
        </w:rPr>
        <w:t>До рішення сесії Городоцької міської ради Львівської області</w:t>
      </w:r>
    </w:p>
    <w:p w14:paraId="1D9BC921" w14:textId="042E4DB5" w:rsidR="008A525F" w:rsidRPr="00FF1F97" w:rsidRDefault="008A525F" w:rsidP="008A525F">
      <w:pPr>
        <w:pStyle w:val="rvps2"/>
        <w:shd w:val="clear" w:color="auto" w:fill="FFFFFF"/>
        <w:spacing w:before="0" w:beforeAutospacing="0" w:after="0" w:afterAutospacing="0"/>
        <w:ind w:left="5245"/>
        <w:rPr>
          <w:rStyle w:val="rvts9"/>
          <w:rFonts w:ascii="Century" w:hAnsi="Century"/>
          <w:bCs/>
        </w:rPr>
      </w:pPr>
      <w:r w:rsidRPr="00FF1F97">
        <w:rPr>
          <w:rStyle w:val="rvts9"/>
          <w:rFonts w:ascii="Century" w:hAnsi="Century"/>
          <w:bCs/>
        </w:rPr>
        <w:t xml:space="preserve">24.06.2021 № </w:t>
      </w:r>
      <w:r w:rsidR="00946FBB" w:rsidRPr="00FF1F97">
        <w:rPr>
          <w:rStyle w:val="rvts9"/>
          <w:rFonts w:ascii="Century" w:hAnsi="Century"/>
          <w:bCs/>
        </w:rPr>
        <w:t>1632</w:t>
      </w:r>
    </w:p>
    <w:p w14:paraId="7C7FCB34" w14:textId="77777777" w:rsidR="008A525F" w:rsidRPr="00FF1F97" w:rsidRDefault="008A525F" w:rsidP="008A525F">
      <w:pPr>
        <w:pStyle w:val="rvps2"/>
        <w:shd w:val="clear" w:color="auto" w:fill="FFFFFF"/>
        <w:spacing w:before="0" w:beforeAutospacing="0" w:after="0" w:afterAutospacing="0"/>
        <w:ind w:left="5245"/>
        <w:rPr>
          <w:rStyle w:val="rvts9"/>
          <w:rFonts w:ascii="Century" w:hAnsi="Century"/>
          <w:bCs/>
        </w:rPr>
      </w:pPr>
    </w:p>
    <w:p w14:paraId="4DA39063" w14:textId="77777777" w:rsidR="00101BC7" w:rsidRPr="00FF1F97" w:rsidRDefault="003C4AB4" w:rsidP="003C4AB4">
      <w:pPr>
        <w:pStyle w:val="rvps2"/>
        <w:shd w:val="clear" w:color="auto" w:fill="FFFFFF"/>
        <w:spacing w:before="0" w:beforeAutospacing="0" w:after="0" w:afterAutospacing="0"/>
        <w:ind w:firstLine="450"/>
        <w:jc w:val="center"/>
        <w:rPr>
          <w:rStyle w:val="rvts9"/>
          <w:rFonts w:ascii="Century" w:hAnsi="Century"/>
          <w:b/>
          <w:bCs/>
        </w:rPr>
      </w:pPr>
      <w:r w:rsidRPr="00FF1F97">
        <w:rPr>
          <w:rStyle w:val="rvts9"/>
          <w:rFonts w:ascii="Century" w:hAnsi="Century"/>
          <w:b/>
          <w:bCs/>
        </w:rPr>
        <w:t>Положення про транспортний податок на території</w:t>
      </w:r>
    </w:p>
    <w:p w14:paraId="16E7019B" w14:textId="77777777" w:rsidR="003C4AB4" w:rsidRPr="00FF1F97" w:rsidRDefault="003C4AB4" w:rsidP="003C4AB4">
      <w:pPr>
        <w:pStyle w:val="rvps2"/>
        <w:shd w:val="clear" w:color="auto" w:fill="FFFFFF"/>
        <w:spacing w:before="0" w:beforeAutospacing="0" w:after="0" w:afterAutospacing="0"/>
        <w:ind w:firstLine="450"/>
        <w:jc w:val="center"/>
        <w:rPr>
          <w:rStyle w:val="rvts9"/>
          <w:rFonts w:ascii="Century" w:hAnsi="Century"/>
          <w:b/>
          <w:bCs/>
        </w:rPr>
      </w:pPr>
      <w:r w:rsidRPr="00FF1F97">
        <w:rPr>
          <w:rStyle w:val="rvts9"/>
          <w:rFonts w:ascii="Century" w:hAnsi="Century"/>
          <w:b/>
          <w:bCs/>
        </w:rPr>
        <w:t xml:space="preserve"> Город</w:t>
      </w:r>
      <w:r w:rsidR="00101BC7" w:rsidRPr="00FF1F97">
        <w:rPr>
          <w:rStyle w:val="rvts9"/>
          <w:rFonts w:ascii="Century" w:hAnsi="Century"/>
          <w:b/>
          <w:bCs/>
        </w:rPr>
        <w:t>оцької міської ради</w:t>
      </w:r>
      <w:r w:rsidRPr="00FF1F97">
        <w:rPr>
          <w:rStyle w:val="rvts9"/>
          <w:rFonts w:ascii="Century" w:hAnsi="Century"/>
          <w:b/>
          <w:bCs/>
        </w:rPr>
        <w:t xml:space="preserve"> Львівської області </w:t>
      </w:r>
      <w:r w:rsidR="00101BC7" w:rsidRPr="00FF1F97">
        <w:rPr>
          <w:rStyle w:val="rvts9"/>
          <w:rFonts w:ascii="Century" w:hAnsi="Century"/>
          <w:b/>
          <w:bCs/>
        </w:rPr>
        <w:t>з 1 січня 2022 року</w:t>
      </w:r>
    </w:p>
    <w:p w14:paraId="37355068" w14:textId="77777777" w:rsidR="003C4AB4" w:rsidRPr="00FF1F97" w:rsidRDefault="003C4AB4" w:rsidP="003C4AB4">
      <w:pPr>
        <w:pStyle w:val="rvps2"/>
        <w:shd w:val="clear" w:color="auto" w:fill="FFFFFF"/>
        <w:spacing w:before="0" w:beforeAutospacing="0" w:after="0" w:afterAutospacing="0"/>
        <w:ind w:firstLine="450"/>
        <w:jc w:val="center"/>
        <w:rPr>
          <w:rStyle w:val="rvts9"/>
          <w:rFonts w:ascii="Century" w:hAnsi="Century"/>
          <w:b/>
          <w:bCs/>
        </w:rPr>
      </w:pPr>
    </w:p>
    <w:p w14:paraId="135A68FF" w14:textId="77777777" w:rsidR="003C4AB4" w:rsidRPr="00FF1F97" w:rsidRDefault="003C4AB4" w:rsidP="00B473BD">
      <w:pPr>
        <w:pStyle w:val="rvps2"/>
        <w:numPr>
          <w:ilvl w:val="0"/>
          <w:numId w:val="1"/>
        </w:numPr>
        <w:shd w:val="clear" w:color="auto" w:fill="FFFFFF"/>
        <w:spacing w:before="0" w:beforeAutospacing="0" w:after="0" w:afterAutospacing="0"/>
        <w:jc w:val="center"/>
        <w:rPr>
          <w:rFonts w:ascii="Century" w:hAnsi="Century"/>
          <w:b/>
        </w:rPr>
      </w:pPr>
      <w:bookmarkStart w:id="3" w:name="n11854"/>
      <w:bookmarkEnd w:id="3"/>
      <w:r w:rsidRPr="00FF1F97">
        <w:rPr>
          <w:rFonts w:ascii="Century" w:hAnsi="Century"/>
          <w:b/>
        </w:rPr>
        <w:t>Платники податку</w:t>
      </w:r>
    </w:p>
    <w:tbl>
      <w:tblPr>
        <w:tblW w:w="9667" w:type="dxa"/>
        <w:tblInd w:w="80" w:type="dxa"/>
        <w:tblLook w:val="04A0" w:firstRow="1" w:lastRow="0" w:firstColumn="1" w:lastColumn="0" w:noHBand="0" w:noVBand="1"/>
      </w:tblPr>
      <w:tblGrid>
        <w:gridCol w:w="3847"/>
        <w:gridCol w:w="1952"/>
        <w:gridCol w:w="3868"/>
      </w:tblGrid>
      <w:tr w:rsidR="00FF1F97" w:rsidRPr="00FF1F97" w14:paraId="30316712" w14:textId="77777777" w:rsidTr="00946FBB">
        <w:trPr>
          <w:trHeight w:val="255"/>
        </w:trPr>
        <w:tc>
          <w:tcPr>
            <w:tcW w:w="3847" w:type="dxa"/>
            <w:tcBorders>
              <w:top w:val="single" w:sz="4" w:space="0" w:color="auto"/>
              <w:left w:val="single" w:sz="4" w:space="0" w:color="auto"/>
              <w:bottom w:val="single" w:sz="4" w:space="0" w:color="auto"/>
              <w:right w:val="single" w:sz="4" w:space="0" w:color="auto"/>
            </w:tcBorders>
            <w:noWrap/>
            <w:vAlign w:val="center"/>
            <w:hideMark/>
          </w:tcPr>
          <w:p w14:paraId="0E7AAF7E" w14:textId="77777777" w:rsidR="00B473BD" w:rsidRPr="00FF1F97" w:rsidRDefault="00B473BD" w:rsidP="006F16F5">
            <w:pPr>
              <w:jc w:val="center"/>
              <w:rPr>
                <w:rFonts w:ascii="Century" w:hAnsi="Century"/>
                <w:lang w:val="uk-UA"/>
              </w:rPr>
            </w:pPr>
            <w:r w:rsidRPr="00FF1F97">
              <w:rPr>
                <w:rFonts w:ascii="Century" w:hAnsi="Century"/>
                <w:lang w:val="uk-UA"/>
              </w:rPr>
              <w:t>Код КОАТУ</w:t>
            </w:r>
          </w:p>
        </w:tc>
        <w:tc>
          <w:tcPr>
            <w:tcW w:w="1952" w:type="dxa"/>
            <w:tcBorders>
              <w:top w:val="single" w:sz="4" w:space="0" w:color="auto"/>
              <w:left w:val="nil"/>
              <w:bottom w:val="single" w:sz="4" w:space="0" w:color="auto"/>
              <w:right w:val="single" w:sz="4" w:space="0" w:color="auto"/>
            </w:tcBorders>
            <w:vAlign w:val="center"/>
            <w:hideMark/>
          </w:tcPr>
          <w:p w14:paraId="13AB38BD" w14:textId="77777777" w:rsidR="00B473BD" w:rsidRPr="00FF1F97" w:rsidRDefault="00B473BD" w:rsidP="006F16F5">
            <w:pPr>
              <w:jc w:val="center"/>
              <w:rPr>
                <w:rFonts w:ascii="Century" w:hAnsi="Century"/>
                <w:lang w:val="uk-UA"/>
              </w:rPr>
            </w:pPr>
            <w:r w:rsidRPr="00FF1F97">
              <w:rPr>
                <w:rFonts w:ascii="Century" w:hAnsi="Century"/>
                <w:lang w:val="uk-UA"/>
              </w:rPr>
              <w:t>Тип населеного пункту</w:t>
            </w:r>
          </w:p>
        </w:tc>
        <w:tc>
          <w:tcPr>
            <w:tcW w:w="3868" w:type="dxa"/>
            <w:tcBorders>
              <w:top w:val="single" w:sz="4" w:space="0" w:color="auto"/>
              <w:left w:val="single" w:sz="4" w:space="0" w:color="auto"/>
              <w:bottom w:val="single" w:sz="4" w:space="0" w:color="auto"/>
              <w:right w:val="single" w:sz="4" w:space="0" w:color="auto"/>
            </w:tcBorders>
            <w:noWrap/>
            <w:vAlign w:val="center"/>
            <w:hideMark/>
          </w:tcPr>
          <w:p w14:paraId="2AAC5479" w14:textId="77777777" w:rsidR="00B473BD" w:rsidRPr="00FF1F97" w:rsidRDefault="00B473BD" w:rsidP="006F16F5">
            <w:pPr>
              <w:jc w:val="center"/>
              <w:rPr>
                <w:rFonts w:ascii="Century" w:hAnsi="Century"/>
                <w:lang w:val="uk-UA"/>
              </w:rPr>
            </w:pPr>
            <w:r w:rsidRPr="00FF1F97">
              <w:rPr>
                <w:rFonts w:ascii="Century" w:hAnsi="Century"/>
                <w:lang w:val="uk-UA"/>
              </w:rPr>
              <w:t>Найменування населеного пункту</w:t>
            </w:r>
          </w:p>
        </w:tc>
      </w:tr>
      <w:tr w:rsidR="00FF1F97" w:rsidRPr="00FF1F97" w14:paraId="5755F858" w14:textId="77777777" w:rsidTr="00946FBB">
        <w:trPr>
          <w:trHeight w:val="255"/>
        </w:trPr>
        <w:tc>
          <w:tcPr>
            <w:tcW w:w="3847" w:type="dxa"/>
            <w:tcBorders>
              <w:top w:val="single" w:sz="4" w:space="0" w:color="auto"/>
              <w:left w:val="single" w:sz="4" w:space="0" w:color="auto"/>
              <w:bottom w:val="single" w:sz="4" w:space="0" w:color="auto"/>
              <w:right w:val="single" w:sz="4" w:space="0" w:color="auto"/>
            </w:tcBorders>
            <w:noWrap/>
            <w:vAlign w:val="bottom"/>
            <w:hideMark/>
          </w:tcPr>
          <w:p w14:paraId="724BF175"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UA46060070010047335</w:t>
            </w:r>
          </w:p>
        </w:tc>
        <w:tc>
          <w:tcPr>
            <w:tcW w:w="1952" w:type="dxa"/>
            <w:tcBorders>
              <w:top w:val="single" w:sz="4" w:space="0" w:color="auto"/>
              <w:left w:val="nil"/>
              <w:bottom w:val="single" w:sz="4" w:space="0" w:color="auto"/>
              <w:right w:val="single" w:sz="4" w:space="0" w:color="auto"/>
            </w:tcBorders>
            <w:hideMark/>
          </w:tcPr>
          <w:p w14:paraId="667B0020" w14:textId="77777777" w:rsidR="00B473BD" w:rsidRPr="00FF1F97" w:rsidRDefault="00B473BD" w:rsidP="006F16F5">
            <w:pPr>
              <w:jc w:val="center"/>
              <w:rPr>
                <w:rFonts w:ascii="Century" w:hAnsi="Century"/>
                <w:sz w:val="20"/>
                <w:lang w:val="uk-UA"/>
              </w:rPr>
            </w:pPr>
            <w:r w:rsidRPr="00FF1F97">
              <w:rPr>
                <w:rFonts w:ascii="Century" w:hAnsi="Century"/>
                <w:sz w:val="20"/>
                <w:lang w:val="uk-UA"/>
              </w:rPr>
              <w:t>м</w:t>
            </w:r>
          </w:p>
        </w:tc>
        <w:tc>
          <w:tcPr>
            <w:tcW w:w="3868" w:type="dxa"/>
            <w:tcBorders>
              <w:top w:val="single" w:sz="4" w:space="0" w:color="auto"/>
              <w:left w:val="single" w:sz="4" w:space="0" w:color="auto"/>
              <w:bottom w:val="single" w:sz="4" w:space="0" w:color="auto"/>
              <w:right w:val="single" w:sz="4" w:space="0" w:color="auto"/>
            </w:tcBorders>
            <w:noWrap/>
            <w:vAlign w:val="bottom"/>
            <w:hideMark/>
          </w:tcPr>
          <w:p w14:paraId="17C0B7C0" w14:textId="77777777" w:rsidR="00B473BD" w:rsidRPr="00FF1F97" w:rsidRDefault="00B473BD" w:rsidP="006F16F5">
            <w:pPr>
              <w:rPr>
                <w:rFonts w:ascii="Century" w:hAnsi="Century"/>
                <w:sz w:val="20"/>
                <w:lang w:val="uk-UA"/>
              </w:rPr>
            </w:pPr>
            <w:r w:rsidRPr="00FF1F97">
              <w:rPr>
                <w:rFonts w:ascii="Century" w:hAnsi="Century"/>
                <w:sz w:val="20"/>
                <w:lang w:val="uk-UA"/>
              </w:rPr>
              <w:t>Городок</w:t>
            </w:r>
          </w:p>
        </w:tc>
      </w:tr>
      <w:tr w:rsidR="00FF1F97" w:rsidRPr="00FF1F97" w14:paraId="03924D59"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18253FA2"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UA46060070040044306</w:t>
            </w:r>
          </w:p>
        </w:tc>
        <w:tc>
          <w:tcPr>
            <w:tcW w:w="1952" w:type="dxa"/>
            <w:tcBorders>
              <w:top w:val="single" w:sz="4" w:space="0" w:color="auto"/>
              <w:left w:val="nil"/>
              <w:bottom w:val="single" w:sz="4" w:space="0" w:color="auto"/>
              <w:right w:val="single" w:sz="4" w:space="0" w:color="auto"/>
            </w:tcBorders>
            <w:hideMark/>
          </w:tcPr>
          <w:p w14:paraId="6806E066" w14:textId="77777777" w:rsidR="00B473BD" w:rsidRPr="00FF1F97" w:rsidRDefault="00B473BD" w:rsidP="006F16F5">
            <w:pPr>
              <w:jc w:val="center"/>
              <w:rPr>
                <w:rFonts w:ascii="Century" w:hAnsi="Century"/>
                <w:sz w:val="20"/>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6ADB8BE2"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Бартатів</w:t>
            </w:r>
            <w:proofErr w:type="spellEnd"/>
          </w:p>
        </w:tc>
      </w:tr>
      <w:tr w:rsidR="00FF1F97" w:rsidRPr="00FF1F97" w14:paraId="11E24C31"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1EAE06B5"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UA46060070080017841</w:t>
            </w:r>
          </w:p>
        </w:tc>
        <w:tc>
          <w:tcPr>
            <w:tcW w:w="1952" w:type="dxa"/>
            <w:tcBorders>
              <w:top w:val="single" w:sz="4" w:space="0" w:color="auto"/>
              <w:left w:val="nil"/>
              <w:bottom w:val="single" w:sz="4" w:space="0" w:color="auto"/>
              <w:right w:val="single" w:sz="4" w:space="0" w:color="auto"/>
            </w:tcBorders>
            <w:hideMark/>
          </w:tcPr>
          <w:p w14:paraId="15440A26"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6E4616B7" w14:textId="77777777" w:rsidR="00B473BD" w:rsidRPr="00FF1F97" w:rsidRDefault="00B473BD" w:rsidP="006F16F5">
            <w:pPr>
              <w:rPr>
                <w:rFonts w:ascii="Century" w:hAnsi="Century"/>
                <w:sz w:val="20"/>
                <w:lang w:val="uk-UA"/>
              </w:rPr>
            </w:pPr>
            <w:r w:rsidRPr="00FF1F97">
              <w:rPr>
                <w:rFonts w:ascii="Century" w:hAnsi="Century"/>
                <w:sz w:val="20"/>
                <w:lang w:val="uk-UA"/>
              </w:rPr>
              <w:t>Воля-</w:t>
            </w:r>
            <w:proofErr w:type="spellStart"/>
            <w:r w:rsidRPr="00FF1F97">
              <w:rPr>
                <w:rFonts w:ascii="Century" w:hAnsi="Century"/>
                <w:sz w:val="20"/>
                <w:lang w:val="uk-UA"/>
              </w:rPr>
              <w:t>Бартатівська</w:t>
            </w:r>
            <w:proofErr w:type="spellEnd"/>
          </w:p>
        </w:tc>
      </w:tr>
      <w:tr w:rsidR="00FF1F97" w:rsidRPr="00FF1F97" w14:paraId="5EC36963"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3191A1E2"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UA46060070050086021</w:t>
            </w:r>
          </w:p>
        </w:tc>
        <w:tc>
          <w:tcPr>
            <w:tcW w:w="1952" w:type="dxa"/>
            <w:tcBorders>
              <w:top w:val="single" w:sz="4" w:space="0" w:color="auto"/>
              <w:left w:val="nil"/>
              <w:bottom w:val="single" w:sz="4" w:space="0" w:color="auto"/>
              <w:right w:val="single" w:sz="4" w:space="0" w:color="auto"/>
            </w:tcBorders>
            <w:hideMark/>
          </w:tcPr>
          <w:p w14:paraId="3AFC29C7"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76DB867D"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Братковичі</w:t>
            </w:r>
            <w:proofErr w:type="spellEnd"/>
          </w:p>
        </w:tc>
      </w:tr>
      <w:tr w:rsidR="00FF1F97" w:rsidRPr="00FF1F97" w14:paraId="43992CC4"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09AEDE19"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UA46060070090052601</w:t>
            </w:r>
          </w:p>
        </w:tc>
        <w:tc>
          <w:tcPr>
            <w:tcW w:w="1952" w:type="dxa"/>
            <w:tcBorders>
              <w:top w:val="single" w:sz="4" w:space="0" w:color="auto"/>
              <w:left w:val="nil"/>
              <w:bottom w:val="single" w:sz="4" w:space="0" w:color="auto"/>
              <w:right w:val="single" w:sz="4" w:space="0" w:color="auto"/>
            </w:tcBorders>
            <w:hideMark/>
          </w:tcPr>
          <w:p w14:paraId="148B2479"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3903030F" w14:textId="77777777" w:rsidR="00B473BD" w:rsidRPr="00FF1F97" w:rsidRDefault="00B473BD" w:rsidP="006F16F5">
            <w:pPr>
              <w:rPr>
                <w:rFonts w:ascii="Century" w:hAnsi="Century"/>
                <w:sz w:val="20"/>
                <w:lang w:val="uk-UA"/>
              </w:rPr>
            </w:pPr>
            <w:r w:rsidRPr="00FF1F97">
              <w:rPr>
                <w:rFonts w:ascii="Century" w:hAnsi="Century"/>
                <w:sz w:val="20"/>
                <w:lang w:val="uk-UA"/>
              </w:rPr>
              <w:t>Галичани</w:t>
            </w:r>
          </w:p>
        </w:tc>
      </w:tr>
      <w:tr w:rsidR="00FF1F97" w:rsidRPr="00FF1F97" w14:paraId="598AF6C5"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66573EA2"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UA46060070140052623</w:t>
            </w:r>
          </w:p>
        </w:tc>
        <w:tc>
          <w:tcPr>
            <w:tcW w:w="1952" w:type="dxa"/>
            <w:tcBorders>
              <w:top w:val="single" w:sz="4" w:space="0" w:color="auto"/>
              <w:left w:val="nil"/>
              <w:bottom w:val="single" w:sz="4" w:space="0" w:color="auto"/>
              <w:right w:val="single" w:sz="4" w:space="0" w:color="auto"/>
            </w:tcBorders>
            <w:hideMark/>
          </w:tcPr>
          <w:p w14:paraId="3C0AA81D"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7FE04383" w14:textId="77777777" w:rsidR="00B473BD" w:rsidRPr="00FF1F97" w:rsidRDefault="00B473BD" w:rsidP="006F16F5">
            <w:pPr>
              <w:rPr>
                <w:rFonts w:ascii="Century" w:hAnsi="Century"/>
                <w:sz w:val="20"/>
                <w:lang w:val="uk-UA"/>
              </w:rPr>
            </w:pPr>
            <w:r w:rsidRPr="00FF1F97">
              <w:rPr>
                <w:rFonts w:ascii="Century" w:hAnsi="Century"/>
                <w:sz w:val="20"/>
                <w:lang w:val="uk-UA"/>
              </w:rPr>
              <w:t>Дроздовичі</w:t>
            </w:r>
          </w:p>
        </w:tc>
      </w:tr>
      <w:tr w:rsidR="00FF1F97" w:rsidRPr="00FF1F97" w14:paraId="78CC6276"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4329B8E9"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UA46060070110099210</w:t>
            </w:r>
          </w:p>
        </w:tc>
        <w:tc>
          <w:tcPr>
            <w:tcW w:w="1952" w:type="dxa"/>
            <w:tcBorders>
              <w:top w:val="single" w:sz="4" w:space="0" w:color="auto"/>
              <w:left w:val="nil"/>
              <w:bottom w:val="single" w:sz="4" w:space="0" w:color="auto"/>
              <w:right w:val="single" w:sz="4" w:space="0" w:color="auto"/>
            </w:tcBorders>
            <w:hideMark/>
          </w:tcPr>
          <w:p w14:paraId="32A79837"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62873A17" w14:textId="77777777" w:rsidR="00B473BD" w:rsidRPr="00FF1F97" w:rsidRDefault="00B473BD" w:rsidP="006F16F5">
            <w:pPr>
              <w:rPr>
                <w:rFonts w:ascii="Century" w:hAnsi="Century"/>
                <w:sz w:val="20"/>
                <w:lang w:val="uk-UA"/>
              </w:rPr>
            </w:pPr>
            <w:r w:rsidRPr="00FF1F97">
              <w:rPr>
                <w:rFonts w:ascii="Century" w:hAnsi="Century"/>
                <w:sz w:val="20"/>
                <w:lang w:val="uk-UA"/>
              </w:rPr>
              <w:t>Градівка</w:t>
            </w:r>
          </w:p>
        </w:tc>
      </w:tr>
      <w:tr w:rsidR="00FF1F97" w:rsidRPr="00FF1F97" w14:paraId="7069B170"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53EA4E77"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UA46060070120017375</w:t>
            </w:r>
          </w:p>
        </w:tc>
        <w:tc>
          <w:tcPr>
            <w:tcW w:w="1952" w:type="dxa"/>
            <w:tcBorders>
              <w:top w:val="single" w:sz="4" w:space="0" w:color="auto"/>
              <w:left w:val="nil"/>
              <w:bottom w:val="single" w:sz="4" w:space="0" w:color="auto"/>
              <w:right w:val="single" w:sz="4" w:space="0" w:color="auto"/>
            </w:tcBorders>
            <w:hideMark/>
          </w:tcPr>
          <w:p w14:paraId="5ED0FFF9"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12F8DE02" w14:textId="77777777" w:rsidR="00B473BD" w:rsidRPr="00FF1F97" w:rsidRDefault="00B473BD" w:rsidP="006F16F5">
            <w:pPr>
              <w:rPr>
                <w:rFonts w:ascii="Century" w:hAnsi="Century"/>
                <w:sz w:val="20"/>
                <w:lang w:val="uk-UA"/>
              </w:rPr>
            </w:pPr>
            <w:r w:rsidRPr="00FF1F97">
              <w:rPr>
                <w:rFonts w:ascii="Century" w:hAnsi="Century"/>
                <w:sz w:val="20"/>
                <w:lang w:val="uk-UA"/>
              </w:rPr>
              <w:t>Добряни</w:t>
            </w:r>
          </w:p>
        </w:tc>
      </w:tr>
      <w:tr w:rsidR="00FF1F97" w:rsidRPr="00FF1F97" w14:paraId="0B321C81"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21C9172A"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UA46060070030055262</w:t>
            </w:r>
          </w:p>
        </w:tc>
        <w:tc>
          <w:tcPr>
            <w:tcW w:w="1952" w:type="dxa"/>
            <w:tcBorders>
              <w:top w:val="single" w:sz="4" w:space="0" w:color="auto"/>
              <w:left w:val="nil"/>
              <w:bottom w:val="single" w:sz="4" w:space="0" w:color="auto"/>
              <w:right w:val="single" w:sz="4" w:space="0" w:color="auto"/>
            </w:tcBorders>
            <w:hideMark/>
          </w:tcPr>
          <w:p w14:paraId="3A8A7B4D"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6DA91907" w14:textId="77777777" w:rsidR="00B473BD" w:rsidRPr="00FF1F97" w:rsidRDefault="00B473BD" w:rsidP="006F16F5">
            <w:pPr>
              <w:rPr>
                <w:rFonts w:ascii="Century" w:hAnsi="Century"/>
                <w:sz w:val="20"/>
                <w:lang w:val="uk-UA"/>
              </w:rPr>
            </w:pPr>
            <w:r w:rsidRPr="00FF1F97">
              <w:rPr>
                <w:rFonts w:ascii="Century" w:hAnsi="Century"/>
                <w:sz w:val="20"/>
                <w:lang w:val="uk-UA"/>
              </w:rPr>
              <w:t>Бар</w:t>
            </w:r>
          </w:p>
        </w:tc>
      </w:tr>
      <w:tr w:rsidR="00FF1F97" w:rsidRPr="00FF1F97" w14:paraId="22872102"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1C7C3730"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UA46060070250048564</w:t>
            </w:r>
          </w:p>
        </w:tc>
        <w:tc>
          <w:tcPr>
            <w:tcW w:w="1952" w:type="dxa"/>
            <w:tcBorders>
              <w:top w:val="single" w:sz="4" w:space="0" w:color="auto"/>
              <w:left w:val="nil"/>
              <w:bottom w:val="single" w:sz="4" w:space="0" w:color="auto"/>
              <w:right w:val="single" w:sz="4" w:space="0" w:color="auto"/>
            </w:tcBorders>
            <w:hideMark/>
          </w:tcPr>
          <w:p w14:paraId="645DFA5C"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045A9808" w14:textId="77777777" w:rsidR="00B473BD" w:rsidRPr="00FF1F97" w:rsidRDefault="00B473BD" w:rsidP="006F16F5">
            <w:pPr>
              <w:rPr>
                <w:rFonts w:ascii="Century" w:hAnsi="Century"/>
                <w:sz w:val="20"/>
                <w:lang w:val="uk-UA"/>
              </w:rPr>
            </w:pPr>
            <w:r w:rsidRPr="00FF1F97">
              <w:rPr>
                <w:rFonts w:ascii="Century" w:hAnsi="Century"/>
                <w:sz w:val="20"/>
                <w:lang w:val="uk-UA"/>
              </w:rPr>
              <w:t>Милятин</w:t>
            </w:r>
          </w:p>
        </w:tc>
      </w:tr>
      <w:tr w:rsidR="00FF1F97" w:rsidRPr="00FF1F97" w14:paraId="431AFC9F"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350A02BF"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UA46060070280063980</w:t>
            </w:r>
          </w:p>
        </w:tc>
        <w:tc>
          <w:tcPr>
            <w:tcW w:w="1952" w:type="dxa"/>
            <w:tcBorders>
              <w:top w:val="single" w:sz="4" w:space="0" w:color="auto"/>
              <w:left w:val="nil"/>
              <w:bottom w:val="single" w:sz="4" w:space="0" w:color="auto"/>
              <w:right w:val="single" w:sz="4" w:space="0" w:color="auto"/>
            </w:tcBorders>
            <w:hideMark/>
          </w:tcPr>
          <w:p w14:paraId="5C183BFE"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28C25A9D"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Підмогилка</w:t>
            </w:r>
            <w:proofErr w:type="spellEnd"/>
          </w:p>
        </w:tc>
      </w:tr>
      <w:tr w:rsidR="00FF1F97" w:rsidRPr="00FF1F97" w14:paraId="696CFAFB"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7D5A3374"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UA46060070130047704</w:t>
            </w:r>
          </w:p>
        </w:tc>
        <w:tc>
          <w:tcPr>
            <w:tcW w:w="1952" w:type="dxa"/>
            <w:tcBorders>
              <w:top w:val="single" w:sz="4" w:space="0" w:color="auto"/>
              <w:left w:val="nil"/>
              <w:bottom w:val="single" w:sz="4" w:space="0" w:color="auto"/>
              <w:right w:val="single" w:sz="4" w:space="0" w:color="auto"/>
            </w:tcBorders>
            <w:hideMark/>
          </w:tcPr>
          <w:p w14:paraId="0874E53A"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078A8DC2" w14:textId="77777777" w:rsidR="00B473BD" w:rsidRPr="00FF1F97" w:rsidRDefault="00B473BD" w:rsidP="006F16F5">
            <w:pPr>
              <w:rPr>
                <w:rFonts w:ascii="Century" w:hAnsi="Century"/>
                <w:sz w:val="20"/>
                <w:lang w:val="uk-UA"/>
              </w:rPr>
            </w:pPr>
            <w:r w:rsidRPr="00FF1F97">
              <w:rPr>
                <w:rFonts w:ascii="Century" w:hAnsi="Century"/>
                <w:sz w:val="20"/>
                <w:lang w:val="uk-UA"/>
              </w:rPr>
              <w:t>Долиняни</w:t>
            </w:r>
          </w:p>
        </w:tc>
      </w:tr>
      <w:tr w:rsidR="00FF1F97" w:rsidRPr="00FF1F97" w14:paraId="66180958"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14E54F2B"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UA46060070070017839</w:t>
            </w:r>
          </w:p>
        </w:tc>
        <w:tc>
          <w:tcPr>
            <w:tcW w:w="1952" w:type="dxa"/>
            <w:tcBorders>
              <w:top w:val="single" w:sz="4" w:space="0" w:color="auto"/>
              <w:left w:val="nil"/>
              <w:bottom w:val="single" w:sz="4" w:space="0" w:color="auto"/>
              <w:right w:val="single" w:sz="4" w:space="0" w:color="auto"/>
            </w:tcBorders>
            <w:hideMark/>
          </w:tcPr>
          <w:p w14:paraId="3C1AF23F"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70CC3B9E"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Вовчухи</w:t>
            </w:r>
            <w:proofErr w:type="spellEnd"/>
          </w:p>
        </w:tc>
      </w:tr>
      <w:tr w:rsidR="00FF1F97" w:rsidRPr="00FF1F97" w14:paraId="5CE60912"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432B5301"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UA46060070100033660</w:t>
            </w:r>
          </w:p>
        </w:tc>
        <w:tc>
          <w:tcPr>
            <w:tcW w:w="1952" w:type="dxa"/>
            <w:tcBorders>
              <w:top w:val="single" w:sz="4" w:space="0" w:color="auto"/>
              <w:left w:val="nil"/>
              <w:bottom w:val="single" w:sz="4" w:space="0" w:color="auto"/>
              <w:right w:val="single" w:sz="4" w:space="0" w:color="auto"/>
            </w:tcBorders>
            <w:hideMark/>
          </w:tcPr>
          <w:p w14:paraId="701C25A0"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02DC6A48"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Годвишня</w:t>
            </w:r>
            <w:proofErr w:type="spellEnd"/>
          </w:p>
        </w:tc>
      </w:tr>
      <w:tr w:rsidR="00FF1F97" w:rsidRPr="00FF1F97" w14:paraId="78D4EC9F"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7FF6EB3A"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UA46060070150017043</w:t>
            </w:r>
          </w:p>
        </w:tc>
        <w:tc>
          <w:tcPr>
            <w:tcW w:w="1952" w:type="dxa"/>
            <w:tcBorders>
              <w:top w:val="single" w:sz="4" w:space="0" w:color="auto"/>
              <w:left w:val="nil"/>
              <w:bottom w:val="single" w:sz="4" w:space="0" w:color="auto"/>
              <w:right w:val="single" w:sz="4" w:space="0" w:color="auto"/>
            </w:tcBorders>
            <w:hideMark/>
          </w:tcPr>
          <w:p w14:paraId="3EAB124C"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43E9BBC2"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Дубаневичі</w:t>
            </w:r>
            <w:proofErr w:type="spellEnd"/>
          </w:p>
        </w:tc>
      </w:tr>
      <w:tr w:rsidR="00FF1F97" w:rsidRPr="00FF1F97" w14:paraId="7E61B2F4"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1B86863A"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UA46060070200024185</w:t>
            </w:r>
          </w:p>
        </w:tc>
        <w:tc>
          <w:tcPr>
            <w:tcW w:w="1952" w:type="dxa"/>
            <w:tcBorders>
              <w:top w:val="single" w:sz="4" w:space="0" w:color="auto"/>
              <w:left w:val="nil"/>
              <w:bottom w:val="single" w:sz="4" w:space="0" w:color="auto"/>
              <w:right w:val="single" w:sz="4" w:space="0" w:color="auto"/>
            </w:tcBorders>
            <w:hideMark/>
          </w:tcPr>
          <w:p w14:paraId="12D8194B"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074F0AE5"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Керниця</w:t>
            </w:r>
            <w:proofErr w:type="spellEnd"/>
          </w:p>
        </w:tc>
      </w:tr>
      <w:tr w:rsidR="00FF1F97" w:rsidRPr="00FF1F97" w14:paraId="6692F9BF"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051B2A96"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UA46060070020087172</w:t>
            </w:r>
          </w:p>
        </w:tc>
        <w:tc>
          <w:tcPr>
            <w:tcW w:w="1952" w:type="dxa"/>
            <w:tcBorders>
              <w:top w:val="single" w:sz="4" w:space="0" w:color="auto"/>
              <w:left w:val="nil"/>
              <w:bottom w:val="single" w:sz="4" w:space="0" w:color="auto"/>
              <w:right w:val="single" w:sz="4" w:space="0" w:color="auto"/>
            </w:tcBorders>
            <w:hideMark/>
          </w:tcPr>
          <w:p w14:paraId="7E3D7E5A"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182535F0"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Артищів</w:t>
            </w:r>
            <w:proofErr w:type="spellEnd"/>
          </w:p>
        </w:tc>
      </w:tr>
      <w:tr w:rsidR="00FF1F97" w:rsidRPr="00FF1F97" w14:paraId="137643DC"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2F84121E"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UA46060070060046303</w:t>
            </w:r>
          </w:p>
        </w:tc>
        <w:tc>
          <w:tcPr>
            <w:tcW w:w="1952" w:type="dxa"/>
            <w:tcBorders>
              <w:top w:val="single" w:sz="4" w:space="0" w:color="auto"/>
              <w:left w:val="nil"/>
              <w:bottom w:val="single" w:sz="4" w:space="0" w:color="auto"/>
              <w:right w:val="single" w:sz="4" w:space="0" w:color="auto"/>
            </w:tcBorders>
            <w:hideMark/>
          </w:tcPr>
          <w:p w14:paraId="78B7DACB"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40518C0A" w14:textId="77777777" w:rsidR="00B473BD" w:rsidRPr="00FF1F97" w:rsidRDefault="00B473BD" w:rsidP="006F16F5">
            <w:pPr>
              <w:rPr>
                <w:rFonts w:ascii="Century" w:hAnsi="Century"/>
                <w:sz w:val="20"/>
                <w:lang w:val="uk-UA"/>
              </w:rPr>
            </w:pPr>
            <w:r w:rsidRPr="00FF1F97">
              <w:rPr>
                <w:rFonts w:ascii="Century" w:hAnsi="Century"/>
                <w:sz w:val="20"/>
                <w:lang w:val="uk-UA"/>
              </w:rPr>
              <w:t>Велика Калинка</w:t>
            </w:r>
          </w:p>
        </w:tc>
      </w:tr>
      <w:tr w:rsidR="00FF1F97" w:rsidRPr="00FF1F97" w14:paraId="4F9B2C54"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3B161BCD"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UA46060070220068215</w:t>
            </w:r>
          </w:p>
        </w:tc>
        <w:tc>
          <w:tcPr>
            <w:tcW w:w="1952" w:type="dxa"/>
            <w:tcBorders>
              <w:top w:val="single" w:sz="4" w:space="0" w:color="auto"/>
              <w:left w:val="nil"/>
              <w:bottom w:val="single" w:sz="4" w:space="0" w:color="auto"/>
              <w:right w:val="single" w:sz="4" w:space="0" w:color="auto"/>
            </w:tcBorders>
            <w:hideMark/>
          </w:tcPr>
          <w:p w14:paraId="5A3548E2"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4939F5E5" w14:textId="77777777" w:rsidR="00B473BD" w:rsidRPr="00FF1F97" w:rsidRDefault="00B473BD" w:rsidP="006F16F5">
            <w:pPr>
              <w:rPr>
                <w:rFonts w:ascii="Century" w:hAnsi="Century"/>
                <w:sz w:val="20"/>
                <w:lang w:val="uk-UA"/>
              </w:rPr>
            </w:pPr>
            <w:r w:rsidRPr="00FF1F97">
              <w:rPr>
                <w:rFonts w:ascii="Century" w:hAnsi="Century"/>
                <w:sz w:val="20"/>
                <w:lang w:val="uk-UA"/>
              </w:rPr>
              <w:t>Любовичі</w:t>
            </w:r>
          </w:p>
        </w:tc>
      </w:tr>
      <w:tr w:rsidR="00FF1F97" w:rsidRPr="00FF1F97" w14:paraId="6C3DD6B4"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0F008010"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UA46060070230094016</w:t>
            </w:r>
          </w:p>
        </w:tc>
        <w:tc>
          <w:tcPr>
            <w:tcW w:w="1952" w:type="dxa"/>
            <w:tcBorders>
              <w:top w:val="single" w:sz="4" w:space="0" w:color="auto"/>
              <w:left w:val="nil"/>
              <w:bottom w:val="single" w:sz="4" w:space="0" w:color="auto"/>
              <w:right w:val="single" w:sz="4" w:space="0" w:color="auto"/>
            </w:tcBorders>
            <w:hideMark/>
          </w:tcPr>
          <w:p w14:paraId="213DAEB8"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56649891"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Мавковичі</w:t>
            </w:r>
            <w:proofErr w:type="spellEnd"/>
          </w:p>
        </w:tc>
      </w:tr>
      <w:tr w:rsidR="00FF1F97" w:rsidRPr="00FF1F97" w14:paraId="7090A06D"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1B62A40A"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UA46060070240077337</w:t>
            </w:r>
          </w:p>
        </w:tc>
        <w:tc>
          <w:tcPr>
            <w:tcW w:w="1952" w:type="dxa"/>
            <w:tcBorders>
              <w:top w:val="single" w:sz="4" w:space="0" w:color="auto"/>
              <w:left w:val="nil"/>
              <w:bottom w:val="single" w:sz="4" w:space="0" w:color="auto"/>
              <w:right w:val="single" w:sz="4" w:space="0" w:color="auto"/>
            </w:tcBorders>
            <w:hideMark/>
          </w:tcPr>
          <w:p w14:paraId="323BD5CC"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3C85B57F"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Мильчиці</w:t>
            </w:r>
            <w:proofErr w:type="spellEnd"/>
          </w:p>
        </w:tc>
      </w:tr>
      <w:tr w:rsidR="00FF1F97" w:rsidRPr="00FF1F97" w14:paraId="22E23820"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776766E3"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UA46060070180023080</w:t>
            </w:r>
          </w:p>
        </w:tc>
        <w:tc>
          <w:tcPr>
            <w:tcW w:w="1952" w:type="dxa"/>
            <w:tcBorders>
              <w:top w:val="single" w:sz="4" w:space="0" w:color="auto"/>
              <w:left w:val="nil"/>
              <w:bottom w:val="single" w:sz="4" w:space="0" w:color="auto"/>
              <w:right w:val="single" w:sz="4" w:space="0" w:color="auto"/>
            </w:tcBorders>
            <w:hideMark/>
          </w:tcPr>
          <w:p w14:paraId="54E304E1"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243F13AA" w14:textId="77777777" w:rsidR="00B473BD" w:rsidRPr="00FF1F97" w:rsidRDefault="00B473BD" w:rsidP="006F16F5">
            <w:pPr>
              <w:rPr>
                <w:rFonts w:ascii="Century" w:hAnsi="Century"/>
                <w:sz w:val="20"/>
                <w:lang w:val="uk-UA"/>
              </w:rPr>
            </w:pPr>
            <w:r w:rsidRPr="00FF1F97">
              <w:rPr>
                <w:rFonts w:ascii="Century" w:hAnsi="Century"/>
                <w:sz w:val="20"/>
                <w:lang w:val="uk-UA"/>
              </w:rPr>
              <w:t>Зелений Гай</w:t>
            </w:r>
          </w:p>
        </w:tc>
      </w:tr>
      <w:tr w:rsidR="00FF1F97" w:rsidRPr="00FF1F97" w14:paraId="3D7DF16E"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5B8FF585"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UA46060070290043918</w:t>
            </w:r>
          </w:p>
        </w:tc>
        <w:tc>
          <w:tcPr>
            <w:tcW w:w="1952" w:type="dxa"/>
            <w:tcBorders>
              <w:top w:val="single" w:sz="4" w:space="0" w:color="auto"/>
              <w:left w:val="nil"/>
              <w:bottom w:val="single" w:sz="4" w:space="0" w:color="auto"/>
              <w:right w:val="single" w:sz="4" w:space="0" w:color="auto"/>
            </w:tcBorders>
            <w:hideMark/>
          </w:tcPr>
          <w:p w14:paraId="3CCADD9D"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4DA491E6" w14:textId="77777777" w:rsidR="00B473BD" w:rsidRPr="00FF1F97" w:rsidRDefault="00B473BD" w:rsidP="006F16F5">
            <w:pPr>
              <w:rPr>
                <w:rFonts w:ascii="Century" w:hAnsi="Century"/>
                <w:sz w:val="20"/>
                <w:lang w:val="uk-UA"/>
              </w:rPr>
            </w:pPr>
            <w:r w:rsidRPr="00FF1F97">
              <w:rPr>
                <w:rFonts w:ascii="Century" w:hAnsi="Century"/>
                <w:sz w:val="20"/>
                <w:lang w:val="uk-UA"/>
              </w:rPr>
              <w:t>Побережне</w:t>
            </w:r>
          </w:p>
        </w:tc>
      </w:tr>
      <w:tr w:rsidR="00FF1F97" w:rsidRPr="00FF1F97" w14:paraId="01FA1753"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23A3F0BD"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UA46060070310018469</w:t>
            </w:r>
          </w:p>
        </w:tc>
        <w:tc>
          <w:tcPr>
            <w:tcW w:w="1952" w:type="dxa"/>
            <w:tcBorders>
              <w:top w:val="single" w:sz="4" w:space="0" w:color="auto"/>
              <w:left w:val="nil"/>
              <w:bottom w:val="single" w:sz="4" w:space="0" w:color="auto"/>
              <w:right w:val="single" w:sz="4" w:space="0" w:color="auto"/>
            </w:tcBorders>
            <w:hideMark/>
          </w:tcPr>
          <w:p w14:paraId="63574C17"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270EE87F"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Путятичі</w:t>
            </w:r>
            <w:proofErr w:type="spellEnd"/>
          </w:p>
        </w:tc>
      </w:tr>
      <w:tr w:rsidR="00FF1F97" w:rsidRPr="00FF1F97" w14:paraId="21B80717"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725D6DB1"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UA46060070270023266</w:t>
            </w:r>
          </w:p>
        </w:tc>
        <w:tc>
          <w:tcPr>
            <w:tcW w:w="1952" w:type="dxa"/>
            <w:tcBorders>
              <w:top w:val="single" w:sz="4" w:space="0" w:color="auto"/>
              <w:left w:val="nil"/>
              <w:bottom w:val="single" w:sz="4" w:space="0" w:color="auto"/>
              <w:right w:val="single" w:sz="4" w:space="0" w:color="auto"/>
            </w:tcBorders>
            <w:hideMark/>
          </w:tcPr>
          <w:p w14:paraId="05461565"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6CAF7212"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Мшана</w:t>
            </w:r>
            <w:proofErr w:type="spellEnd"/>
          </w:p>
        </w:tc>
      </w:tr>
      <w:tr w:rsidR="00FF1F97" w:rsidRPr="00FF1F97" w14:paraId="0CF9B696"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2BF4BC39"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UA46060070300098119</w:t>
            </w:r>
          </w:p>
        </w:tc>
        <w:tc>
          <w:tcPr>
            <w:tcW w:w="1952" w:type="dxa"/>
            <w:tcBorders>
              <w:top w:val="single" w:sz="4" w:space="0" w:color="auto"/>
              <w:left w:val="nil"/>
              <w:bottom w:val="single" w:sz="4" w:space="0" w:color="auto"/>
              <w:right w:val="single" w:sz="4" w:space="0" w:color="auto"/>
            </w:tcBorders>
            <w:hideMark/>
          </w:tcPr>
          <w:p w14:paraId="66E59964"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113A847F"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Повітно</w:t>
            </w:r>
            <w:proofErr w:type="spellEnd"/>
          </w:p>
        </w:tc>
      </w:tr>
      <w:tr w:rsidR="00FF1F97" w:rsidRPr="00FF1F97" w14:paraId="10631632"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62DE3FAE"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UA46060070160092953</w:t>
            </w:r>
          </w:p>
        </w:tc>
        <w:tc>
          <w:tcPr>
            <w:tcW w:w="1952" w:type="dxa"/>
            <w:tcBorders>
              <w:top w:val="single" w:sz="4" w:space="0" w:color="auto"/>
              <w:left w:val="nil"/>
              <w:bottom w:val="single" w:sz="4" w:space="0" w:color="auto"/>
              <w:right w:val="single" w:sz="4" w:space="0" w:color="auto"/>
            </w:tcBorders>
            <w:hideMark/>
          </w:tcPr>
          <w:p w14:paraId="033DCFFB"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75607485"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Заверешиця</w:t>
            </w:r>
            <w:proofErr w:type="spellEnd"/>
          </w:p>
        </w:tc>
      </w:tr>
      <w:tr w:rsidR="00FF1F97" w:rsidRPr="00FF1F97" w14:paraId="2563A7D1"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44573ABB"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UA46060070170042870</w:t>
            </w:r>
          </w:p>
        </w:tc>
        <w:tc>
          <w:tcPr>
            <w:tcW w:w="1952" w:type="dxa"/>
            <w:tcBorders>
              <w:top w:val="single" w:sz="4" w:space="0" w:color="auto"/>
              <w:left w:val="nil"/>
              <w:bottom w:val="single" w:sz="4" w:space="0" w:color="auto"/>
              <w:right w:val="single" w:sz="4" w:space="0" w:color="auto"/>
            </w:tcBorders>
            <w:hideMark/>
          </w:tcPr>
          <w:p w14:paraId="6174E51C"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5C864075" w14:textId="77777777" w:rsidR="00B473BD" w:rsidRPr="00FF1F97" w:rsidRDefault="00B473BD" w:rsidP="006F16F5">
            <w:pPr>
              <w:rPr>
                <w:rFonts w:ascii="Century" w:hAnsi="Century"/>
                <w:sz w:val="20"/>
                <w:lang w:val="uk-UA"/>
              </w:rPr>
            </w:pPr>
            <w:r w:rsidRPr="00FF1F97">
              <w:rPr>
                <w:rFonts w:ascii="Century" w:hAnsi="Century"/>
                <w:sz w:val="20"/>
                <w:lang w:val="uk-UA"/>
              </w:rPr>
              <w:t xml:space="preserve">Залужжя </w:t>
            </w:r>
          </w:p>
        </w:tc>
      </w:tr>
      <w:tr w:rsidR="00FF1F97" w:rsidRPr="00FF1F97" w14:paraId="57E06A38"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7B29B232"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UA46060070190018965</w:t>
            </w:r>
          </w:p>
        </w:tc>
        <w:tc>
          <w:tcPr>
            <w:tcW w:w="1952" w:type="dxa"/>
            <w:tcBorders>
              <w:top w:val="single" w:sz="4" w:space="0" w:color="auto"/>
              <w:left w:val="nil"/>
              <w:bottom w:val="single" w:sz="4" w:space="0" w:color="auto"/>
              <w:right w:val="single" w:sz="4" w:space="0" w:color="auto"/>
            </w:tcBorders>
            <w:hideMark/>
          </w:tcPr>
          <w:p w14:paraId="09A62DFD"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473F0645"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Зушиці</w:t>
            </w:r>
            <w:proofErr w:type="spellEnd"/>
          </w:p>
        </w:tc>
      </w:tr>
      <w:tr w:rsidR="00FF1F97" w:rsidRPr="00FF1F97" w14:paraId="1E902AD3"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5757C86C"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UA46060070320096939</w:t>
            </w:r>
          </w:p>
        </w:tc>
        <w:tc>
          <w:tcPr>
            <w:tcW w:w="1952" w:type="dxa"/>
            <w:tcBorders>
              <w:top w:val="single" w:sz="4" w:space="0" w:color="auto"/>
              <w:left w:val="nil"/>
              <w:bottom w:val="single" w:sz="4" w:space="0" w:color="auto"/>
              <w:right w:val="single" w:sz="4" w:space="0" w:color="auto"/>
            </w:tcBorders>
            <w:hideMark/>
          </w:tcPr>
          <w:p w14:paraId="5DB0CE85"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62EFA4BF"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Речичани</w:t>
            </w:r>
            <w:proofErr w:type="spellEnd"/>
          </w:p>
        </w:tc>
      </w:tr>
      <w:tr w:rsidR="00FF1F97" w:rsidRPr="00FF1F97" w14:paraId="77ADBFCD"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1BC7A8A9"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UA46060070210048376</w:t>
            </w:r>
          </w:p>
        </w:tc>
        <w:tc>
          <w:tcPr>
            <w:tcW w:w="1952" w:type="dxa"/>
            <w:tcBorders>
              <w:top w:val="single" w:sz="4" w:space="0" w:color="auto"/>
              <w:left w:val="nil"/>
              <w:bottom w:val="single" w:sz="4" w:space="0" w:color="auto"/>
              <w:right w:val="single" w:sz="4" w:space="0" w:color="auto"/>
            </w:tcBorders>
            <w:hideMark/>
          </w:tcPr>
          <w:p w14:paraId="559E2439"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2EE08DD4"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Лісновичі</w:t>
            </w:r>
            <w:proofErr w:type="spellEnd"/>
          </w:p>
        </w:tc>
      </w:tr>
      <w:tr w:rsidR="00FF1F97" w:rsidRPr="00FF1F97" w14:paraId="569301EF"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5FA407BE"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UA46060070330048067</w:t>
            </w:r>
          </w:p>
        </w:tc>
        <w:tc>
          <w:tcPr>
            <w:tcW w:w="1952" w:type="dxa"/>
            <w:tcBorders>
              <w:top w:val="single" w:sz="4" w:space="0" w:color="auto"/>
              <w:left w:val="nil"/>
              <w:bottom w:val="single" w:sz="4" w:space="0" w:color="auto"/>
              <w:right w:val="single" w:sz="4" w:space="0" w:color="auto"/>
            </w:tcBorders>
            <w:hideMark/>
          </w:tcPr>
          <w:p w14:paraId="32C9EFFF"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0808D9AA"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Родатичі</w:t>
            </w:r>
            <w:proofErr w:type="spellEnd"/>
          </w:p>
        </w:tc>
      </w:tr>
      <w:tr w:rsidR="00FF1F97" w:rsidRPr="00FF1F97" w14:paraId="5F3BE834"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60BE09FC"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UA46060070260085967</w:t>
            </w:r>
          </w:p>
        </w:tc>
        <w:tc>
          <w:tcPr>
            <w:tcW w:w="1952" w:type="dxa"/>
            <w:tcBorders>
              <w:top w:val="single" w:sz="4" w:space="0" w:color="auto"/>
              <w:left w:val="nil"/>
              <w:bottom w:val="single" w:sz="4" w:space="0" w:color="auto"/>
              <w:right w:val="single" w:sz="4" w:space="0" w:color="auto"/>
            </w:tcBorders>
            <w:hideMark/>
          </w:tcPr>
          <w:p w14:paraId="7591F26B"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7B0DE5F5"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Молошки</w:t>
            </w:r>
            <w:proofErr w:type="spellEnd"/>
          </w:p>
        </w:tc>
      </w:tr>
      <w:tr w:rsidR="00FF1F97" w:rsidRPr="00FF1F97" w14:paraId="1716852C"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18480B01"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UA46060070360091877</w:t>
            </w:r>
          </w:p>
        </w:tc>
        <w:tc>
          <w:tcPr>
            <w:tcW w:w="1952" w:type="dxa"/>
            <w:tcBorders>
              <w:top w:val="single" w:sz="4" w:space="0" w:color="auto"/>
              <w:left w:val="nil"/>
              <w:bottom w:val="single" w:sz="4" w:space="0" w:color="auto"/>
              <w:right w:val="single" w:sz="4" w:space="0" w:color="auto"/>
            </w:tcBorders>
            <w:hideMark/>
          </w:tcPr>
          <w:p w14:paraId="1EDADF5C"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4DB79687" w14:textId="77777777" w:rsidR="00B473BD" w:rsidRPr="00FF1F97" w:rsidRDefault="00B473BD" w:rsidP="006F16F5">
            <w:pPr>
              <w:rPr>
                <w:rFonts w:ascii="Century" w:hAnsi="Century"/>
                <w:sz w:val="20"/>
                <w:lang w:val="uk-UA"/>
              </w:rPr>
            </w:pPr>
            <w:r w:rsidRPr="00FF1F97">
              <w:rPr>
                <w:rFonts w:ascii="Century" w:hAnsi="Century"/>
                <w:sz w:val="20"/>
                <w:lang w:val="uk-UA"/>
              </w:rPr>
              <w:t>Угри</w:t>
            </w:r>
          </w:p>
        </w:tc>
      </w:tr>
      <w:tr w:rsidR="00FF1F97" w:rsidRPr="00FF1F97" w14:paraId="4F2132AE"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55FFB170"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UA46060070340022467</w:t>
            </w:r>
          </w:p>
        </w:tc>
        <w:tc>
          <w:tcPr>
            <w:tcW w:w="1952" w:type="dxa"/>
            <w:tcBorders>
              <w:top w:val="single" w:sz="4" w:space="0" w:color="auto"/>
              <w:left w:val="nil"/>
              <w:bottom w:val="single" w:sz="4" w:space="0" w:color="auto"/>
              <w:right w:val="single" w:sz="4" w:space="0" w:color="auto"/>
            </w:tcBorders>
            <w:hideMark/>
          </w:tcPr>
          <w:p w14:paraId="4D470854"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391754E9"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Стоділки</w:t>
            </w:r>
            <w:proofErr w:type="spellEnd"/>
          </w:p>
        </w:tc>
      </w:tr>
      <w:tr w:rsidR="00FF1F97" w:rsidRPr="00FF1F97" w14:paraId="03558F8F"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47A2145A"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UA46060070370069184</w:t>
            </w:r>
          </w:p>
        </w:tc>
        <w:tc>
          <w:tcPr>
            <w:tcW w:w="1952" w:type="dxa"/>
            <w:tcBorders>
              <w:top w:val="single" w:sz="4" w:space="0" w:color="auto"/>
              <w:left w:val="nil"/>
              <w:bottom w:val="single" w:sz="4" w:space="0" w:color="auto"/>
              <w:right w:val="single" w:sz="4" w:space="0" w:color="auto"/>
            </w:tcBorders>
            <w:hideMark/>
          </w:tcPr>
          <w:p w14:paraId="2FF3A40D"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30E95B05"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Черляни</w:t>
            </w:r>
            <w:proofErr w:type="spellEnd"/>
          </w:p>
        </w:tc>
      </w:tr>
      <w:tr w:rsidR="00FF1F97" w:rsidRPr="00FF1F97" w14:paraId="4CA4C33E"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04711208"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UA46060070380095563</w:t>
            </w:r>
          </w:p>
        </w:tc>
        <w:tc>
          <w:tcPr>
            <w:tcW w:w="1952" w:type="dxa"/>
            <w:tcBorders>
              <w:top w:val="single" w:sz="4" w:space="0" w:color="auto"/>
              <w:left w:val="nil"/>
              <w:bottom w:val="single" w:sz="4" w:space="0" w:color="auto"/>
              <w:right w:val="single" w:sz="4" w:space="0" w:color="auto"/>
            </w:tcBorders>
            <w:hideMark/>
          </w:tcPr>
          <w:p w14:paraId="00CD6F69"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6437D2F4"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Черлянське</w:t>
            </w:r>
            <w:proofErr w:type="spellEnd"/>
            <w:r w:rsidRPr="00FF1F97">
              <w:rPr>
                <w:rFonts w:ascii="Century" w:hAnsi="Century"/>
                <w:sz w:val="20"/>
                <w:lang w:val="uk-UA"/>
              </w:rPr>
              <w:t xml:space="preserve"> Передмістя</w:t>
            </w:r>
          </w:p>
        </w:tc>
      </w:tr>
      <w:tr w:rsidR="00FF1F97" w:rsidRPr="00FF1F97" w14:paraId="5EAACED4"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67E2F657"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UA46060070390062411</w:t>
            </w:r>
          </w:p>
        </w:tc>
        <w:tc>
          <w:tcPr>
            <w:tcW w:w="1952" w:type="dxa"/>
            <w:tcBorders>
              <w:top w:val="single" w:sz="4" w:space="0" w:color="auto"/>
              <w:left w:val="nil"/>
              <w:bottom w:val="single" w:sz="4" w:space="0" w:color="auto"/>
              <w:right w:val="single" w:sz="4" w:space="0" w:color="auto"/>
            </w:tcBorders>
            <w:hideMark/>
          </w:tcPr>
          <w:p w14:paraId="09115920"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7994DB37" w14:textId="77777777" w:rsidR="00B473BD" w:rsidRPr="00FF1F97" w:rsidRDefault="00B473BD" w:rsidP="006F16F5">
            <w:pPr>
              <w:rPr>
                <w:rFonts w:ascii="Century" w:hAnsi="Century"/>
                <w:sz w:val="20"/>
                <w:lang w:val="uk-UA"/>
              </w:rPr>
            </w:pPr>
            <w:proofErr w:type="spellStart"/>
            <w:r w:rsidRPr="00FF1F97">
              <w:rPr>
                <w:rFonts w:ascii="Century" w:hAnsi="Century"/>
                <w:sz w:val="20"/>
                <w:lang w:val="uk-UA"/>
              </w:rPr>
              <w:t>Шоломиничі</w:t>
            </w:r>
            <w:proofErr w:type="spellEnd"/>
          </w:p>
        </w:tc>
      </w:tr>
      <w:tr w:rsidR="00B473BD" w:rsidRPr="00FF1F97" w14:paraId="5CD28D63" w14:textId="77777777" w:rsidTr="00946FBB">
        <w:trPr>
          <w:trHeight w:val="255"/>
        </w:trPr>
        <w:tc>
          <w:tcPr>
            <w:tcW w:w="3847" w:type="dxa"/>
            <w:tcBorders>
              <w:top w:val="nil"/>
              <w:left w:val="single" w:sz="4" w:space="0" w:color="auto"/>
              <w:bottom w:val="single" w:sz="4" w:space="0" w:color="auto"/>
              <w:right w:val="single" w:sz="4" w:space="0" w:color="auto"/>
            </w:tcBorders>
            <w:noWrap/>
            <w:vAlign w:val="bottom"/>
            <w:hideMark/>
          </w:tcPr>
          <w:p w14:paraId="59CD92F9" w14:textId="77777777" w:rsidR="00B473BD" w:rsidRPr="00FF1F97" w:rsidRDefault="00B473BD" w:rsidP="006F16F5">
            <w:pPr>
              <w:jc w:val="center"/>
              <w:rPr>
                <w:rFonts w:ascii="Century" w:hAnsi="Century"/>
                <w:sz w:val="20"/>
                <w:lang w:val="uk-UA"/>
              </w:rPr>
            </w:pPr>
            <w:r w:rsidRPr="00FF1F97">
              <w:rPr>
                <w:rFonts w:ascii="Century" w:hAnsi="Century"/>
                <w:sz w:val="20"/>
                <w:lang w:val="uk-UA"/>
              </w:rPr>
              <w:t>UA46060070350018132</w:t>
            </w:r>
          </w:p>
        </w:tc>
        <w:tc>
          <w:tcPr>
            <w:tcW w:w="1952" w:type="dxa"/>
            <w:tcBorders>
              <w:top w:val="single" w:sz="4" w:space="0" w:color="auto"/>
              <w:left w:val="nil"/>
              <w:bottom w:val="single" w:sz="4" w:space="0" w:color="auto"/>
              <w:right w:val="single" w:sz="4" w:space="0" w:color="auto"/>
            </w:tcBorders>
            <w:hideMark/>
          </w:tcPr>
          <w:p w14:paraId="3E8C533E" w14:textId="77777777" w:rsidR="00B473BD" w:rsidRPr="00FF1F97" w:rsidRDefault="00B473BD" w:rsidP="006F16F5">
            <w:pPr>
              <w:jc w:val="center"/>
              <w:rPr>
                <w:rFonts w:ascii="Century" w:hAnsi="Century"/>
                <w:lang w:val="uk-UA"/>
              </w:rPr>
            </w:pPr>
            <w:r w:rsidRPr="00FF1F97">
              <w:rPr>
                <w:rFonts w:ascii="Century" w:hAnsi="Century"/>
                <w:sz w:val="20"/>
                <w:lang w:val="uk-UA"/>
              </w:rPr>
              <w:t>с</w:t>
            </w:r>
          </w:p>
        </w:tc>
        <w:tc>
          <w:tcPr>
            <w:tcW w:w="3868" w:type="dxa"/>
            <w:tcBorders>
              <w:top w:val="nil"/>
              <w:left w:val="single" w:sz="4" w:space="0" w:color="auto"/>
              <w:bottom w:val="single" w:sz="4" w:space="0" w:color="auto"/>
              <w:right w:val="single" w:sz="4" w:space="0" w:color="auto"/>
            </w:tcBorders>
            <w:noWrap/>
            <w:vAlign w:val="bottom"/>
            <w:hideMark/>
          </w:tcPr>
          <w:p w14:paraId="286243DF" w14:textId="77777777" w:rsidR="00B473BD" w:rsidRPr="00FF1F97" w:rsidRDefault="00B473BD" w:rsidP="006F16F5">
            <w:pPr>
              <w:rPr>
                <w:rFonts w:ascii="Century" w:hAnsi="Century"/>
                <w:sz w:val="20"/>
                <w:lang w:val="uk-UA"/>
              </w:rPr>
            </w:pPr>
            <w:r w:rsidRPr="00FF1F97">
              <w:rPr>
                <w:rFonts w:ascii="Century" w:hAnsi="Century"/>
                <w:sz w:val="20"/>
                <w:lang w:val="uk-UA"/>
              </w:rPr>
              <w:t>Тучапи</w:t>
            </w:r>
          </w:p>
        </w:tc>
      </w:tr>
    </w:tbl>
    <w:p w14:paraId="148704D4" w14:textId="77777777" w:rsidR="00B473BD" w:rsidRPr="00FF1F97" w:rsidRDefault="00B473BD" w:rsidP="00B473BD">
      <w:pPr>
        <w:pStyle w:val="rvps2"/>
        <w:shd w:val="clear" w:color="auto" w:fill="FFFFFF"/>
        <w:spacing w:before="0" w:beforeAutospacing="0" w:after="0" w:afterAutospacing="0"/>
        <w:ind w:left="810"/>
        <w:rPr>
          <w:rFonts w:ascii="Century" w:hAnsi="Century"/>
          <w:b/>
          <w:sz w:val="28"/>
          <w:szCs w:val="28"/>
        </w:rPr>
      </w:pPr>
    </w:p>
    <w:p w14:paraId="1AD10824" w14:textId="77777777" w:rsidR="003C4AB4" w:rsidRPr="00FF1F97" w:rsidRDefault="003C4AB4" w:rsidP="00BC45D9">
      <w:pPr>
        <w:pStyle w:val="rvps2"/>
        <w:shd w:val="clear" w:color="auto" w:fill="FFFFFF"/>
        <w:spacing w:before="0" w:beforeAutospacing="0" w:after="0" w:afterAutospacing="0"/>
        <w:ind w:firstLine="900"/>
        <w:jc w:val="both"/>
        <w:rPr>
          <w:rFonts w:ascii="Century" w:hAnsi="Century"/>
        </w:rPr>
      </w:pPr>
      <w:bookmarkStart w:id="4" w:name="n11855"/>
      <w:bookmarkEnd w:id="4"/>
      <w:r w:rsidRPr="00FF1F97">
        <w:rPr>
          <w:rFonts w:ascii="Century" w:hAnsi="Century"/>
        </w:rPr>
        <w:lastRenderedPageBreak/>
        <w:t>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пункту 2 цього Положення є об’єктами оподаткування.</w:t>
      </w:r>
    </w:p>
    <w:p w14:paraId="60321FB9" w14:textId="77777777" w:rsidR="003C4AB4" w:rsidRPr="00FF1F97" w:rsidRDefault="003C4AB4" w:rsidP="00BC45D9">
      <w:pPr>
        <w:pStyle w:val="rvps2"/>
        <w:shd w:val="clear" w:color="auto" w:fill="FFFFFF"/>
        <w:spacing w:before="0" w:beforeAutospacing="0" w:after="0" w:afterAutospacing="0"/>
        <w:ind w:firstLine="900"/>
        <w:jc w:val="both"/>
        <w:rPr>
          <w:rFonts w:ascii="Century" w:hAnsi="Century"/>
        </w:rPr>
      </w:pPr>
    </w:p>
    <w:p w14:paraId="7DF7E374" w14:textId="77777777" w:rsidR="003C4AB4" w:rsidRPr="00FF1F97" w:rsidRDefault="003C4AB4" w:rsidP="00BC45D9">
      <w:pPr>
        <w:pStyle w:val="rvps2"/>
        <w:shd w:val="clear" w:color="auto" w:fill="FFFFFF"/>
        <w:spacing w:before="0" w:beforeAutospacing="0" w:after="0" w:afterAutospacing="0"/>
        <w:ind w:firstLine="900"/>
        <w:jc w:val="center"/>
        <w:rPr>
          <w:rFonts w:ascii="Century" w:hAnsi="Century"/>
          <w:b/>
        </w:rPr>
      </w:pPr>
      <w:bookmarkStart w:id="5" w:name="n11856"/>
      <w:bookmarkEnd w:id="5"/>
      <w:r w:rsidRPr="00FF1F97">
        <w:rPr>
          <w:rFonts w:ascii="Century" w:hAnsi="Century"/>
          <w:b/>
        </w:rPr>
        <w:t>2. Об’єкт оподаткування</w:t>
      </w:r>
    </w:p>
    <w:p w14:paraId="29DDE4E2" w14:textId="77777777" w:rsidR="004968E8" w:rsidRPr="00FF1F97" w:rsidRDefault="004968E8" w:rsidP="004968E8">
      <w:pPr>
        <w:pStyle w:val="rvps2"/>
        <w:shd w:val="clear" w:color="auto" w:fill="FFFFFF"/>
        <w:spacing w:before="0" w:beforeAutospacing="0" w:after="150" w:afterAutospacing="0"/>
        <w:ind w:firstLine="450"/>
        <w:jc w:val="both"/>
        <w:rPr>
          <w:rFonts w:ascii="Century" w:hAnsi="Century"/>
        </w:rPr>
      </w:pPr>
      <w:bookmarkStart w:id="6" w:name="n11857"/>
      <w:bookmarkEnd w:id="6"/>
      <w:r w:rsidRPr="00FF1F97">
        <w:rPr>
          <w:rFonts w:ascii="Century" w:hAnsi="Century"/>
        </w:rPr>
        <w:t xml:space="preserve">Об’єктом оподаткування є легкові автомобілі, з року випуску яких минуло не більше п’яти років (включно) та </w:t>
      </w:r>
      <w:r w:rsidR="00F97B88" w:rsidRPr="00FF1F97">
        <w:rPr>
          <w:rFonts w:ascii="Century" w:hAnsi="Century"/>
        </w:rPr>
        <w:t>середньо ринкова</w:t>
      </w:r>
      <w:r w:rsidRPr="00FF1F97">
        <w:rPr>
          <w:rFonts w:ascii="Century" w:hAnsi="Century"/>
        </w:rPr>
        <w:t xml:space="preserve"> вартість яких становить понад 375 розмірів мінімальної заробітної плати, встановленої законом на 1 січня податкового (звітного) року.</w:t>
      </w:r>
    </w:p>
    <w:p w14:paraId="40A282CD" w14:textId="77777777" w:rsidR="004968E8" w:rsidRPr="00FF1F97" w:rsidRDefault="004968E8" w:rsidP="004968E8">
      <w:pPr>
        <w:pStyle w:val="rvps2"/>
        <w:shd w:val="clear" w:color="auto" w:fill="FFFFFF"/>
        <w:spacing w:before="0" w:beforeAutospacing="0" w:after="150" w:afterAutospacing="0"/>
        <w:ind w:firstLine="450"/>
        <w:jc w:val="both"/>
        <w:rPr>
          <w:rFonts w:ascii="Century" w:hAnsi="Century"/>
        </w:rPr>
      </w:pPr>
      <w:bookmarkStart w:id="7" w:name="n13369"/>
      <w:bookmarkStart w:id="8" w:name="n12926"/>
      <w:bookmarkEnd w:id="7"/>
      <w:bookmarkEnd w:id="8"/>
      <w:r w:rsidRPr="00FF1F97">
        <w:rPr>
          <w:rFonts w:ascii="Century" w:hAnsi="Century"/>
        </w:rPr>
        <w:t>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 </w:t>
      </w:r>
      <w:hyperlink r:id="rId7" w:anchor="n9" w:tgtFrame="_blank" w:history="1">
        <w:r w:rsidRPr="00FF1F97">
          <w:rPr>
            <w:rStyle w:val="a8"/>
            <w:rFonts w:ascii="Century" w:hAnsi="Century"/>
            <w:color w:val="auto"/>
            <w:u w:val="none"/>
          </w:rPr>
          <w:t>методикою</w:t>
        </w:r>
      </w:hyperlink>
      <w:r w:rsidRPr="00FF1F97">
        <w:rPr>
          <w:rFonts w:ascii="Century" w:hAnsi="Century"/>
        </w:rPr>
        <w:t>,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p>
    <w:p w14:paraId="3580BE00" w14:textId="77777777" w:rsidR="004968E8" w:rsidRPr="00FF1F97" w:rsidRDefault="004968E8" w:rsidP="004968E8">
      <w:pPr>
        <w:pStyle w:val="rvps2"/>
        <w:shd w:val="clear" w:color="auto" w:fill="FFFFFF"/>
        <w:spacing w:before="0" w:beforeAutospacing="0" w:after="150" w:afterAutospacing="0"/>
        <w:ind w:firstLine="450"/>
        <w:jc w:val="both"/>
        <w:rPr>
          <w:rFonts w:ascii="Century" w:hAnsi="Century"/>
        </w:rPr>
      </w:pPr>
      <w:bookmarkStart w:id="9" w:name="n14375"/>
      <w:bookmarkStart w:id="10" w:name="n14378"/>
      <w:bookmarkEnd w:id="9"/>
      <w:bookmarkEnd w:id="10"/>
      <w:r w:rsidRPr="00FF1F97">
        <w:rPr>
          <w:rFonts w:ascii="Century" w:hAnsi="Century"/>
        </w:rPr>
        <w:t xml:space="preserve">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w:t>
      </w:r>
      <w:r w:rsidR="00F97B88" w:rsidRPr="00FF1F97">
        <w:rPr>
          <w:rFonts w:ascii="Century" w:hAnsi="Century"/>
        </w:rPr>
        <w:t>середньо ринкова</w:t>
      </w:r>
      <w:r w:rsidRPr="00FF1F97">
        <w:rPr>
          <w:rFonts w:ascii="Century" w:hAnsi="Century"/>
        </w:rPr>
        <w:t xml:space="preserve"> вартість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14:paraId="2705E370" w14:textId="77777777" w:rsidR="003C4AB4" w:rsidRPr="00FF1F97" w:rsidRDefault="003C4AB4" w:rsidP="003C4AB4">
      <w:pPr>
        <w:pStyle w:val="rvps2"/>
        <w:shd w:val="clear" w:color="auto" w:fill="FFFFFF"/>
        <w:spacing w:before="0" w:beforeAutospacing="0" w:after="0" w:afterAutospacing="0"/>
        <w:ind w:firstLine="450"/>
        <w:jc w:val="both"/>
        <w:rPr>
          <w:rFonts w:ascii="Century" w:hAnsi="Century"/>
        </w:rPr>
      </w:pPr>
    </w:p>
    <w:p w14:paraId="27F30692" w14:textId="77777777" w:rsidR="003C4AB4" w:rsidRPr="00FF1F97" w:rsidRDefault="003C4AB4" w:rsidP="003C4AB4">
      <w:pPr>
        <w:pStyle w:val="rvps2"/>
        <w:shd w:val="clear" w:color="auto" w:fill="FFFFFF"/>
        <w:spacing w:before="0" w:beforeAutospacing="0" w:after="0" w:afterAutospacing="0"/>
        <w:ind w:firstLine="450"/>
        <w:jc w:val="center"/>
        <w:rPr>
          <w:rFonts w:ascii="Century" w:hAnsi="Century"/>
          <w:b/>
        </w:rPr>
      </w:pPr>
      <w:bookmarkStart w:id="11" w:name="n14376"/>
      <w:bookmarkStart w:id="12" w:name="n11858"/>
      <w:bookmarkEnd w:id="11"/>
      <w:bookmarkEnd w:id="12"/>
      <w:r w:rsidRPr="00FF1F97">
        <w:rPr>
          <w:rFonts w:ascii="Century" w:hAnsi="Century"/>
          <w:b/>
        </w:rPr>
        <w:t>3. База оподаткування</w:t>
      </w:r>
    </w:p>
    <w:p w14:paraId="314FE26F" w14:textId="77777777" w:rsidR="004968E8" w:rsidRPr="00FF1F97" w:rsidRDefault="004968E8" w:rsidP="004968E8">
      <w:pPr>
        <w:pStyle w:val="rvps2"/>
        <w:shd w:val="clear" w:color="auto" w:fill="FFFFFF"/>
        <w:spacing w:before="0" w:beforeAutospacing="0" w:after="150" w:afterAutospacing="0"/>
        <w:ind w:firstLine="450"/>
        <w:jc w:val="both"/>
        <w:rPr>
          <w:rFonts w:ascii="Century" w:hAnsi="Century"/>
        </w:rPr>
      </w:pPr>
      <w:r w:rsidRPr="00FF1F97">
        <w:rPr>
          <w:rFonts w:ascii="Century" w:hAnsi="Century"/>
        </w:rPr>
        <w:t>Базою оподаткування є легковий автомобіль, що є об’єктом оподаткування відповідно до підпункту 267.2.1 пункту 267.2 статті 267.</w:t>
      </w:r>
    </w:p>
    <w:p w14:paraId="60AE9C88" w14:textId="77777777" w:rsidR="003C4AB4" w:rsidRPr="00FF1F97" w:rsidRDefault="003C4AB4" w:rsidP="00BC45D9">
      <w:pPr>
        <w:pStyle w:val="rvps2"/>
        <w:shd w:val="clear" w:color="auto" w:fill="FFFFFF"/>
        <w:spacing w:before="0" w:beforeAutospacing="0" w:after="0" w:afterAutospacing="0"/>
        <w:ind w:firstLine="900"/>
        <w:jc w:val="center"/>
        <w:rPr>
          <w:rFonts w:ascii="Century" w:hAnsi="Century"/>
          <w:b/>
        </w:rPr>
      </w:pPr>
      <w:r w:rsidRPr="00FF1F97">
        <w:rPr>
          <w:rFonts w:ascii="Century" w:hAnsi="Century"/>
          <w:b/>
        </w:rPr>
        <w:t>4. Ставка податку</w:t>
      </w:r>
    </w:p>
    <w:p w14:paraId="25B7EFF0" w14:textId="77777777" w:rsidR="004968E8" w:rsidRPr="00FF1F97" w:rsidRDefault="004968E8" w:rsidP="004968E8">
      <w:pPr>
        <w:pStyle w:val="rvps2"/>
        <w:shd w:val="clear" w:color="auto" w:fill="FFFFFF"/>
        <w:spacing w:before="0" w:beforeAutospacing="0" w:after="150" w:afterAutospacing="0"/>
        <w:ind w:firstLine="450"/>
        <w:jc w:val="both"/>
        <w:rPr>
          <w:rFonts w:ascii="Century" w:hAnsi="Century"/>
        </w:rPr>
      </w:pPr>
      <w:bookmarkStart w:id="13" w:name="n11860"/>
      <w:bookmarkEnd w:id="13"/>
      <w:r w:rsidRPr="00FF1F97">
        <w:rPr>
          <w:rFonts w:ascii="Century" w:hAnsi="Century"/>
        </w:rPr>
        <w:t>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267.2.1 пункту 267.2 статті 267.</w:t>
      </w:r>
    </w:p>
    <w:p w14:paraId="1C7C9E8F" w14:textId="77777777" w:rsidR="003C4AB4" w:rsidRPr="00FF1F97" w:rsidRDefault="003C4AB4" w:rsidP="00BC45D9">
      <w:pPr>
        <w:pStyle w:val="rvps2"/>
        <w:shd w:val="clear" w:color="auto" w:fill="FFFFFF"/>
        <w:spacing w:before="0" w:beforeAutospacing="0" w:after="0" w:afterAutospacing="0"/>
        <w:ind w:firstLine="900"/>
        <w:jc w:val="both"/>
        <w:rPr>
          <w:rFonts w:ascii="Century" w:hAnsi="Century"/>
        </w:rPr>
      </w:pPr>
    </w:p>
    <w:p w14:paraId="73DB9BA7" w14:textId="77777777" w:rsidR="003C4AB4" w:rsidRPr="00FF1F97" w:rsidRDefault="003C4AB4" w:rsidP="00BC45D9">
      <w:pPr>
        <w:pStyle w:val="rvps2"/>
        <w:shd w:val="clear" w:color="auto" w:fill="FFFFFF"/>
        <w:spacing w:before="0" w:beforeAutospacing="0" w:after="0" w:afterAutospacing="0"/>
        <w:ind w:firstLine="900"/>
        <w:jc w:val="center"/>
        <w:rPr>
          <w:rFonts w:ascii="Century" w:hAnsi="Century"/>
          <w:b/>
        </w:rPr>
      </w:pPr>
      <w:bookmarkStart w:id="14" w:name="n11861"/>
      <w:bookmarkEnd w:id="14"/>
      <w:r w:rsidRPr="00FF1F97">
        <w:rPr>
          <w:rFonts w:ascii="Century" w:hAnsi="Century"/>
          <w:b/>
        </w:rPr>
        <w:t>5. Податковий період</w:t>
      </w:r>
    </w:p>
    <w:p w14:paraId="4AEF4F5A" w14:textId="77777777" w:rsidR="003C4AB4" w:rsidRPr="00FF1F97" w:rsidRDefault="003C4AB4" w:rsidP="00BC45D9">
      <w:pPr>
        <w:pStyle w:val="rvps2"/>
        <w:shd w:val="clear" w:color="auto" w:fill="FFFFFF"/>
        <w:spacing w:before="0" w:beforeAutospacing="0" w:after="0" w:afterAutospacing="0"/>
        <w:ind w:firstLine="900"/>
        <w:jc w:val="both"/>
        <w:rPr>
          <w:rFonts w:ascii="Century" w:hAnsi="Century"/>
        </w:rPr>
      </w:pPr>
      <w:bookmarkStart w:id="15" w:name="n11862"/>
      <w:bookmarkEnd w:id="15"/>
      <w:r w:rsidRPr="00FF1F97">
        <w:rPr>
          <w:rFonts w:ascii="Century" w:hAnsi="Century"/>
        </w:rPr>
        <w:t>Базовий податковий (звітний) період дорівнює календарному року.</w:t>
      </w:r>
    </w:p>
    <w:p w14:paraId="59C408EF" w14:textId="77777777" w:rsidR="003C4AB4" w:rsidRPr="00FF1F97" w:rsidRDefault="003C4AB4" w:rsidP="003C4AB4">
      <w:pPr>
        <w:pStyle w:val="rvps2"/>
        <w:shd w:val="clear" w:color="auto" w:fill="FFFFFF"/>
        <w:spacing w:before="0" w:beforeAutospacing="0" w:after="0" w:afterAutospacing="0"/>
        <w:ind w:firstLine="450"/>
        <w:jc w:val="both"/>
        <w:rPr>
          <w:rFonts w:ascii="Century" w:hAnsi="Century"/>
        </w:rPr>
      </w:pPr>
    </w:p>
    <w:p w14:paraId="50979F7A" w14:textId="77777777" w:rsidR="003C4AB4" w:rsidRPr="00FF1F97" w:rsidRDefault="003C4AB4" w:rsidP="003C4AB4">
      <w:pPr>
        <w:pStyle w:val="rvps2"/>
        <w:shd w:val="clear" w:color="auto" w:fill="FFFFFF"/>
        <w:spacing w:before="0" w:beforeAutospacing="0" w:after="0" w:afterAutospacing="0"/>
        <w:ind w:firstLine="450"/>
        <w:jc w:val="center"/>
        <w:rPr>
          <w:rFonts w:ascii="Century" w:hAnsi="Century"/>
        </w:rPr>
      </w:pPr>
      <w:bookmarkStart w:id="16" w:name="n11863"/>
      <w:bookmarkEnd w:id="16"/>
      <w:r w:rsidRPr="00FF1F97">
        <w:rPr>
          <w:rFonts w:ascii="Century" w:hAnsi="Century"/>
          <w:b/>
        </w:rPr>
        <w:t>6. Порядок обчислення та сплати податку</w:t>
      </w:r>
    </w:p>
    <w:p w14:paraId="63CDDF50" w14:textId="77777777" w:rsidR="003C4AB4" w:rsidRPr="00FF1F97" w:rsidRDefault="003C4AB4" w:rsidP="00094757">
      <w:pPr>
        <w:pStyle w:val="rvps2"/>
        <w:shd w:val="clear" w:color="auto" w:fill="FFFFFF"/>
        <w:spacing w:before="0" w:beforeAutospacing="0" w:after="0" w:afterAutospacing="0"/>
        <w:ind w:firstLine="900"/>
        <w:jc w:val="both"/>
        <w:rPr>
          <w:rFonts w:ascii="Century" w:hAnsi="Century"/>
        </w:rPr>
      </w:pPr>
      <w:bookmarkStart w:id="17" w:name="n11864"/>
      <w:bookmarkEnd w:id="17"/>
      <w:r w:rsidRPr="00FF1F97">
        <w:rPr>
          <w:rFonts w:ascii="Century" w:hAnsi="Century"/>
        </w:rPr>
        <w:t xml:space="preserve">6.1. Обчислення суми податку з об’єкта/об’єктів оподаткування фізичних осіб здійснюється контролюючим органом за </w:t>
      </w:r>
      <w:proofErr w:type="spellStart"/>
      <w:r w:rsidR="00EE5F1D" w:rsidRPr="00FF1F97">
        <w:rPr>
          <w:rFonts w:ascii="Century" w:hAnsi="Century"/>
        </w:rPr>
        <w:t>адресою</w:t>
      </w:r>
      <w:proofErr w:type="spellEnd"/>
      <w:r w:rsidR="00EE5F1D" w:rsidRPr="00FF1F97">
        <w:rPr>
          <w:rFonts w:ascii="Century" w:hAnsi="Century"/>
        </w:rPr>
        <w:t xml:space="preserve"> (</w:t>
      </w:r>
      <w:r w:rsidRPr="00FF1F97">
        <w:rPr>
          <w:rFonts w:ascii="Century" w:hAnsi="Century"/>
        </w:rPr>
        <w:t>місцем реєстрації</w:t>
      </w:r>
      <w:r w:rsidR="00EE5F1D" w:rsidRPr="00FF1F97">
        <w:rPr>
          <w:rFonts w:ascii="Century" w:hAnsi="Century"/>
        </w:rPr>
        <w:t>)</w:t>
      </w:r>
      <w:r w:rsidRPr="00FF1F97">
        <w:rPr>
          <w:rFonts w:ascii="Century" w:hAnsi="Century"/>
        </w:rPr>
        <w:t xml:space="preserve"> платника податку</w:t>
      </w:r>
      <w:r w:rsidR="00EE5F1D" w:rsidRPr="00FF1F97">
        <w:rPr>
          <w:rFonts w:ascii="Century" w:hAnsi="Century"/>
        </w:rPr>
        <w:t>, зазначеною в реєстраційних документах на об’єкт оподаткування</w:t>
      </w:r>
      <w:r w:rsidRPr="00FF1F97">
        <w:rPr>
          <w:rFonts w:ascii="Century" w:hAnsi="Century"/>
        </w:rPr>
        <w:t>.</w:t>
      </w:r>
    </w:p>
    <w:p w14:paraId="6BFCF1A7" w14:textId="77777777" w:rsidR="00F67465" w:rsidRPr="00FF1F97" w:rsidRDefault="003C4AB4" w:rsidP="00094757">
      <w:pPr>
        <w:shd w:val="clear" w:color="auto" w:fill="FFFFFF"/>
        <w:spacing w:after="150"/>
        <w:ind w:firstLine="851"/>
        <w:jc w:val="both"/>
        <w:rPr>
          <w:rFonts w:ascii="Century" w:hAnsi="Century"/>
          <w:lang w:val="uk-UA" w:eastAsia="uk-UA"/>
        </w:rPr>
      </w:pPr>
      <w:bookmarkStart w:id="18" w:name="n11865"/>
      <w:bookmarkEnd w:id="18"/>
      <w:r w:rsidRPr="00FF1F97">
        <w:rPr>
          <w:rFonts w:ascii="Century" w:hAnsi="Century"/>
          <w:lang w:val="uk-UA"/>
        </w:rPr>
        <w:t>6.2.</w:t>
      </w:r>
      <w:r w:rsidR="00F67465" w:rsidRPr="00FF1F97">
        <w:rPr>
          <w:rFonts w:ascii="Century" w:hAnsi="Century"/>
          <w:lang w:val="uk-UA" w:eastAsia="uk-UA"/>
        </w:rPr>
        <w:t xml:space="preserve"> Податкове/податкові повідомлення-рішення про сплату суми/сум податку та відповідні платіжні реквізити надсилаються платнику податку контролюючим органом у порядку, визначеному </w:t>
      </w:r>
      <w:hyperlink r:id="rId8" w:anchor="n1091" w:history="1">
        <w:r w:rsidR="00F67465" w:rsidRPr="00FF1F97">
          <w:rPr>
            <w:rFonts w:ascii="Century" w:hAnsi="Century"/>
            <w:lang w:val="uk-UA" w:eastAsia="uk-UA"/>
          </w:rPr>
          <w:t>статтею 42</w:t>
        </w:r>
      </w:hyperlink>
      <w:r w:rsidR="00F67465" w:rsidRPr="00FF1F97">
        <w:rPr>
          <w:rFonts w:ascii="Century" w:hAnsi="Century"/>
          <w:lang w:val="uk-UA" w:eastAsia="uk-UA"/>
        </w:rPr>
        <w:t> </w:t>
      </w:r>
      <w:r w:rsidR="00094757" w:rsidRPr="00FF1F97">
        <w:rPr>
          <w:rFonts w:ascii="Century" w:hAnsi="Century"/>
          <w:lang w:val="uk-UA"/>
        </w:rPr>
        <w:t>Податкового Кодексу України</w:t>
      </w:r>
      <w:r w:rsidR="00F67465" w:rsidRPr="00FF1F97">
        <w:rPr>
          <w:rFonts w:ascii="Century" w:hAnsi="Century"/>
          <w:lang w:val="uk-UA" w:eastAsia="uk-UA"/>
        </w:rPr>
        <w:t>, до 1 липня року базового податкового (звітного) періоду (року).</w:t>
      </w:r>
    </w:p>
    <w:p w14:paraId="61CF7B97" w14:textId="77777777" w:rsidR="00F67465" w:rsidRPr="00FF1F97" w:rsidRDefault="00F67465" w:rsidP="00094757">
      <w:pPr>
        <w:shd w:val="clear" w:color="auto" w:fill="FFFFFF"/>
        <w:spacing w:after="150"/>
        <w:ind w:firstLine="851"/>
        <w:jc w:val="both"/>
        <w:rPr>
          <w:rFonts w:ascii="Century" w:hAnsi="Century"/>
          <w:lang w:val="uk-UA" w:eastAsia="uk-UA"/>
        </w:rPr>
      </w:pPr>
      <w:bookmarkStart w:id="19" w:name="n17093"/>
      <w:bookmarkEnd w:id="19"/>
      <w:r w:rsidRPr="00FF1F97">
        <w:rPr>
          <w:rFonts w:ascii="Century" w:hAnsi="Century"/>
          <w:lang w:val="uk-UA" w:eastAsia="uk-UA"/>
        </w:rPr>
        <w:t xml:space="preserve">Щодо об’єктів оподаткування, придбаних протягом року, податок сплачується фізичною особою-платником починаючи з місяця, в якому </w:t>
      </w:r>
      <w:proofErr w:type="spellStart"/>
      <w:r w:rsidRPr="00FF1F97">
        <w:rPr>
          <w:rFonts w:ascii="Century" w:hAnsi="Century"/>
          <w:lang w:val="uk-UA" w:eastAsia="uk-UA"/>
        </w:rPr>
        <w:t>виникло</w:t>
      </w:r>
      <w:proofErr w:type="spellEnd"/>
      <w:r w:rsidRPr="00FF1F97">
        <w:rPr>
          <w:rFonts w:ascii="Century" w:hAnsi="Century"/>
          <w:lang w:val="uk-UA" w:eastAsia="uk-UA"/>
        </w:rPr>
        <w:t xml:space="preserve"> право власності на такий об’єкт. Контролюючий орган надсилає податкове </w:t>
      </w:r>
      <w:r w:rsidRPr="00FF1F97">
        <w:rPr>
          <w:rFonts w:ascii="Century" w:hAnsi="Century"/>
          <w:lang w:val="uk-UA" w:eastAsia="uk-UA"/>
        </w:rPr>
        <w:lastRenderedPageBreak/>
        <w:t>повідомлення-рішення новому власнику після отримання інформації про перехід права власності.</w:t>
      </w:r>
    </w:p>
    <w:p w14:paraId="6FC54DA8" w14:textId="77777777" w:rsidR="003C258D" w:rsidRPr="00FF1F97" w:rsidRDefault="00F67465" w:rsidP="00094757">
      <w:pPr>
        <w:shd w:val="clear" w:color="auto" w:fill="FFFFFF"/>
        <w:spacing w:after="150"/>
        <w:ind w:firstLine="851"/>
        <w:jc w:val="both"/>
        <w:rPr>
          <w:rFonts w:ascii="Century" w:hAnsi="Century"/>
          <w:shd w:val="clear" w:color="auto" w:fill="FFFFFF"/>
          <w:lang w:val="uk-UA"/>
        </w:rPr>
      </w:pPr>
      <w:r w:rsidRPr="00FF1F97">
        <w:rPr>
          <w:rFonts w:ascii="Century" w:hAnsi="Century"/>
          <w:lang w:val="uk-UA" w:eastAsia="uk-UA"/>
        </w:rPr>
        <w:t xml:space="preserve">6.3. </w:t>
      </w:r>
      <w:r w:rsidR="003C258D" w:rsidRPr="00FF1F97">
        <w:rPr>
          <w:rFonts w:ascii="Century" w:hAnsi="Century"/>
          <w:shd w:val="clear" w:color="auto" w:fill="FFFFFF"/>
          <w:lang w:val="uk-UA"/>
        </w:rPr>
        <w:t xml:space="preserve">Органи, що здійснюють державну реєстрацію транспортних засобів, зобов’язані до 1 квітня </w:t>
      </w:r>
      <w:r w:rsidR="00F97B88" w:rsidRPr="00FF1F97">
        <w:rPr>
          <w:rFonts w:ascii="Century" w:hAnsi="Century"/>
          <w:shd w:val="clear" w:color="auto" w:fill="FFFFFF"/>
          <w:lang w:val="uk-UA"/>
        </w:rPr>
        <w:t>2022</w:t>
      </w:r>
      <w:r w:rsidR="003C258D" w:rsidRPr="00FF1F97">
        <w:rPr>
          <w:rFonts w:ascii="Century" w:hAnsi="Century"/>
          <w:shd w:val="clear" w:color="auto" w:fill="FFFFFF"/>
          <w:lang w:val="uk-UA"/>
        </w:rPr>
        <w:t xml:space="preserve"> пода</w:t>
      </w:r>
      <w:r w:rsidR="00F97B88" w:rsidRPr="00FF1F97">
        <w:rPr>
          <w:rFonts w:ascii="Century" w:hAnsi="Century"/>
          <w:shd w:val="clear" w:color="auto" w:fill="FFFFFF"/>
          <w:lang w:val="uk-UA"/>
        </w:rPr>
        <w:t xml:space="preserve">вати </w:t>
      </w:r>
      <w:r w:rsidR="003C258D" w:rsidRPr="00FF1F97">
        <w:rPr>
          <w:rFonts w:ascii="Century" w:hAnsi="Century"/>
          <w:shd w:val="clear" w:color="auto" w:fill="FFFFFF"/>
          <w:lang w:val="uk-UA"/>
        </w:rPr>
        <w:t>контролюючим органам за місцем реєстрації об’єкта оподаткування </w:t>
      </w:r>
      <w:hyperlink r:id="rId9" w:anchor="n14" w:tgtFrame="_blank" w:history="1">
        <w:r w:rsidR="003C258D" w:rsidRPr="00FF1F97">
          <w:rPr>
            <w:rStyle w:val="a8"/>
            <w:rFonts w:ascii="Century" w:hAnsi="Century"/>
            <w:color w:val="auto"/>
            <w:u w:val="none"/>
            <w:shd w:val="clear" w:color="auto" w:fill="FFFFFF"/>
            <w:lang w:val="uk-UA"/>
          </w:rPr>
          <w:t>відомості</w:t>
        </w:r>
      </w:hyperlink>
      <w:r w:rsidR="003C258D" w:rsidRPr="00FF1F97">
        <w:rPr>
          <w:rFonts w:ascii="Century" w:hAnsi="Century"/>
          <w:shd w:val="clear" w:color="auto" w:fill="FFFFFF"/>
          <w:lang w:val="uk-UA"/>
        </w:rPr>
        <w:t>, необхідні для розрахунку та справляння податку фізичними та юридичними особами.</w:t>
      </w:r>
    </w:p>
    <w:p w14:paraId="7F412542"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 xml:space="preserve">З 1 квітня </w:t>
      </w:r>
      <w:r w:rsidR="00F97B88" w:rsidRPr="00FF1F97">
        <w:rPr>
          <w:rFonts w:ascii="Century" w:hAnsi="Century"/>
          <w:lang w:val="uk-UA" w:eastAsia="uk-UA"/>
        </w:rPr>
        <w:t>2022</w:t>
      </w:r>
      <w:r w:rsidRPr="00FF1F97">
        <w:rPr>
          <w:rFonts w:ascii="Century" w:hAnsi="Century"/>
          <w:lang w:val="uk-UA" w:eastAsia="uk-UA"/>
        </w:rPr>
        <w:t xml:space="preserve"> органи, що здійснюють державну реєстрацію транспортних засобів,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14:paraId="013F3F4E"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14:paraId="726C3D38"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6.4. Платники податку - юридичні особи самостійно обчислюють суму податку станом на 1 січня звітного року і не пізніше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w:t>
      </w:r>
      <w:hyperlink r:id="rId10" w:anchor="n1144" w:history="1">
        <w:r w:rsidRPr="00FF1F97">
          <w:rPr>
            <w:rFonts w:ascii="Century" w:hAnsi="Century"/>
            <w:lang w:val="uk-UA" w:eastAsia="uk-UA"/>
          </w:rPr>
          <w:t>статтею 46</w:t>
        </w:r>
      </w:hyperlink>
      <w:r w:rsidRPr="00FF1F97">
        <w:rPr>
          <w:rFonts w:ascii="Century" w:hAnsi="Century"/>
          <w:lang w:val="uk-UA" w:eastAsia="uk-UA"/>
        </w:rPr>
        <w:t> </w:t>
      </w:r>
      <w:r w:rsidR="00094757" w:rsidRPr="00FF1F97">
        <w:rPr>
          <w:rFonts w:ascii="Century" w:hAnsi="Century"/>
          <w:lang w:val="uk-UA" w:eastAsia="uk-UA"/>
        </w:rPr>
        <w:t xml:space="preserve"> </w:t>
      </w:r>
      <w:r w:rsidR="00094757" w:rsidRPr="00FF1F97">
        <w:rPr>
          <w:rFonts w:ascii="Century" w:hAnsi="Century"/>
          <w:lang w:val="uk-UA"/>
        </w:rPr>
        <w:t>Податкового Кодексу України</w:t>
      </w:r>
      <w:r w:rsidRPr="00FF1F97">
        <w:rPr>
          <w:rFonts w:ascii="Century" w:hAnsi="Century"/>
          <w:lang w:val="uk-UA" w:eastAsia="uk-UA"/>
        </w:rPr>
        <w:t>, з розбивкою річної суми рівними частками поквартально.</w:t>
      </w:r>
    </w:p>
    <w:p w14:paraId="3D757BCA" w14:textId="77777777" w:rsidR="00F67465" w:rsidRPr="00FF1F97" w:rsidRDefault="00F67465" w:rsidP="00094757">
      <w:pPr>
        <w:shd w:val="clear" w:color="auto" w:fill="FFFFFF"/>
        <w:spacing w:after="150"/>
        <w:ind w:firstLine="851"/>
        <w:jc w:val="both"/>
        <w:rPr>
          <w:rFonts w:ascii="Century" w:hAnsi="Century"/>
          <w:lang w:val="uk-UA" w:eastAsia="uk-UA"/>
        </w:rPr>
      </w:pPr>
      <w:bookmarkStart w:id="20" w:name="n17094"/>
      <w:bookmarkEnd w:id="20"/>
      <w:r w:rsidRPr="00FF1F97">
        <w:rPr>
          <w:rFonts w:ascii="Century" w:hAnsi="Century"/>
          <w:lang w:val="uk-UA" w:eastAsia="uk-UA"/>
        </w:rPr>
        <w:t xml:space="preserve">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w:t>
      </w:r>
      <w:proofErr w:type="spellStart"/>
      <w:r w:rsidRPr="00FF1F97">
        <w:rPr>
          <w:rFonts w:ascii="Century" w:hAnsi="Century"/>
          <w:lang w:val="uk-UA" w:eastAsia="uk-UA"/>
        </w:rPr>
        <w:t>виникло</w:t>
      </w:r>
      <w:proofErr w:type="spellEnd"/>
      <w:r w:rsidRPr="00FF1F97">
        <w:rPr>
          <w:rFonts w:ascii="Century" w:hAnsi="Century"/>
          <w:lang w:val="uk-UA" w:eastAsia="uk-UA"/>
        </w:rPr>
        <w:t xml:space="preserve"> право власності на такий об’єкт.</w:t>
      </w:r>
    </w:p>
    <w:p w14:paraId="5F1ACFB8"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14:paraId="229FAFCB"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Контролюючий орган надсилає податкове повідомлення-рішення новому власнику після отримання інформації про перехід права власності.</w:t>
      </w:r>
    </w:p>
    <w:p w14:paraId="6327D270"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 xml:space="preserve">6.6. За об’єкти оподаткування, придбані протягом року, податок сплачується </w:t>
      </w:r>
      <w:proofErr w:type="spellStart"/>
      <w:r w:rsidRPr="00FF1F97">
        <w:rPr>
          <w:rFonts w:ascii="Century" w:hAnsi="Century"/>
          <w:lang w:val="uk-UA" w:eastAsia="uk-UA"/>
        </w:rPr>
        <w:t>пропорційно</w:t>
      </w:r>
      <w:proofErr w:type="spellEnd"/>
      <w:r w:rsidRPr="00FF1F97">
        <w:rPr>
          <w:rFonts w:ascii="Century" w:hAnsi="Century"/>
          <w:lang w:val="uk-UA" w:eastAsia="uk-UA"/>
        </w:rPr>
        <w:t xml:space="preserve"> кількості місяців, які залишилися до кінця року, починаючи з місяця, в якому проведено реєстрацію транспортного засобу.</w:t>
      </w:r>
    </w:p>
    <w:p w14:paraId="09C10EC6"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6.7.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14:paraId="4E606D9D"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 xml:space="preserve">6.8. У разі незаконного заволодіння третьою особою легковим автомобілем, який відповідно до підпункту </w:t>
      </w:r>
      <w:r w:rsidR="001F711E" w:rsidRPr="00FF1F97">
        <w:rPr>
          <w:rFonts w:ascii="Century" w:hAnsi="Century"/>
          <w:lang w:val="uk-UA" w:eastAsia="uk-UA"/>
        </w:rPr>
        <w:t>267.</w:t>
      </w:r>
      <w:r w:rsidRPr="00FF1F97">
        <w:rPr>
          <w:rFonts w:ascii="Century" w:hAnsi="Century"/>
          <w:lang w:val="uk-UA" w:eastAsia="uk-UA"/>
        </w:rPr>
        <w:t xml:space="preserve">2.1 пункту </w:t>
      </w:r>
      <w:r w:rsidR="001F711E" w:rsidRPr="00FF1F97">
        <w:rPr>
          <w:rFonts w:ascii="Century" w:hAnsi="Century"/>
          <w:lang w:val="uk-UA" w:eastAsia="uk-UA"/>
        </w:rPr>
        <w:t>267.</w:t>
      </w:r>
      <w:r w:rsidRPr="00FF1F97">
        <w:rPr>
          <w:rFonts w:ascii="Century" w:hAnsi="Century"/>
          <w:lang w:val="uk-UA" w:eastAsia="uk-UA"/>
        </w:rPr>
        <w:t xml:space="preserve">2 </w:t>
      </w:r>
      <w:r w:rsidR="001F711E" w:rsidRPr="00FF1F97">
        <w:rPr>
          <w:rFonts w:ascii="Century" w:hAnsi="Century"/>
          <w:lang w:val="uk-UA" w:eastAsia="uk-UA"/>
        </w:rPr>
        <w:t>статті 267 ПКУ</w:t>
      </w:r>
      <w:r w:rsidRPr="00FF1F97">
        <w:rPr>
          <w:rFonts w:ascii="Century" w:hAnsi="Century"/>
          <w:lang w:val="uk-UA" w:eastAsia="uk-UA"/>
        </w:rPr>
        <w:t xml:space="preserve">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14:paraId="6459F5E7"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lastRenderedPageBreak/>
        <w:t xml:space="preserve">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w:t>
      </w:r>
      <w:proofErr w:type="spellStart"/>
      <w:r w:rsidRPr="00FF1F97">
        <w:rPr>
          <w:rFonts w:ascii="Century" w:hAnsi="Century"/>
          <w:lang w:val="uk-UA" w:eastAsia="uk-UA"/>
        </w:rPr>
        <w:t>повернено</w:t>
      </w:r>
      <w:proofErr w:type="spellEnd"/>
      <w:r w:rsidRPr="00FF1F97">
        <w:rPr>
          <w:rFonts w:ascii="Century" w:hAnsi="Century"/>
          <w:lang w:val="uk-UA" w:eastAsia="uk-UA"/>
        </w:rPr>
        <w:t xml:space="preserve">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14:paraId="6A3B7EE6"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 xml:space="preserve">6.9. У разі незаконного заволодіння третьою особою легковим автомобілем, який відповідно до підпункту </w:t>
      </w:r>
      <w:r w:rsidR="001F711E" w:rsidRPr="00FF1F97">
        <w:rPr>
          <w:rFonts w:ascii="Century" w:hAnsi="Century"/>
          <w:lang w:val="uk-UA" w:eastAsia="uk-UA"/>
        </w:rPr>
        <w:t xml:space="preserve">267.2.1 пункту 267.2 статті 267 ПКУ </w:t>
      </w:r>
      <w:r w:rsidRPr="00FF1F97">
        <w:rPr>
          <w:rFonts w:ascii="Century" w:hAnsi="Century"/>
          <w:lang w:val="uk-UA" w:eastAsia="uk-UA"/>
        </w:rPr>
        <w:t>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14:paraId="0780318C"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14:paraId="5BF9823A"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 xml:space="preserve">6.10. Фізичні особи - платники податку мають право звернутися з письмовою заявою до контролюючого органу за своєю податковою </w:t>
      </w:r>
      <w:proofErr w:type="spellStart"/>
      <w:r w:rsidRPr="00FF1F97">
        <w:rPr>
          <w:rFonts w:ascii="Century" w:hAnsi="Century"/>
          <w:lang w:val="uk-UA" w:eastAsia="uk-UA"/>
        </w:rPr>
        <w:t>адресою</w:t>
      </w:r>
      <w:proofErr w:type="spellEnd"/>
      <w:r w:rsidRPr="00FF1F97">
        <w:rPr>
          <w:rFonts w:ascii="Century" w:hAnsi="Century"/>
          <w:lang w:val="uk-UA" w:eastAsia="uk-UA"/>
        </w:rPr>
        <w:t xml:space="preserve"> (місцем реєстрації) для проведення звірки даних щодо:</w:t>
      </w:r>
    </w:p>
    <w:p w14:paraId="0E05D805" w14:textId="77777777" w:rsidR="00F67465" w:rsidRPr="00FF1F97" w:rsidRDefault="00F67465" w:rsidP="00094757">
      <w:pPr>
        <w:shd w:val="clear" w:color="auto" w:fill="FFFFFF"/>
        <w:spacing w:after="150"/>
        <w:ind w:firstLine="851"/>
        <w:jc w:val="both"/>
        <w:rPr>
          <w:rFonts w:ascii="Century" w:hAnsi="Century"/>
          <w:lang w:val="uk-UA" w:eastAsia="uk-UA"/>
        </w:rPr>
      </w:pPr>
      <w:bookmarkStart w:id="21" w:name="n17095"/>
      <w:bookmarkEnd w:id="21"/>
      <w:r w:rsidRPr="00FF1F97">
        <w:rPr>
          <w:rFonts w:ascii="Century" w:hAnsi="Century"/>
          <w:lang w:val="uk-UA" w:eastAsia="uk-UA"/>
        </w:rPr>
        <w:t>а) об’єктів оподаткування, що перебувають у власності платника податку;</w:t>
      </w:r>
    </w:p>
    <w:p w14:paraId="113CEF57"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б) розміру ставки податку;</w:t>
      </w:r>
    </w:p>
    <w:p w14:paraId="69B6A6EF"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в) нарахованої суми податку.</w:t>
      </w:r>
    </w:p>
    <w:p w14:paraId="1F2EFFDC"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691A5703" w14:textId="77777777" w:rsidR="00F67465" w:rsidRPr="00FF1F97" w:rsidRDefault="00F67465" w:rsidP="00094757">
      <w:pPr>
        <w:shd w:val="clear" w:color="auto" w:fill="FFFFFF"/>
        <w:spacing w:after="150"/>
        <w:ind w:firstLine="851"/>
        <w:jc w:val="both"/>
        <w:rPr>
          <w:rFonts w:ascii="Century" w:hAnsi="Century"/>
          <w:lang w:val="uk-UA" w:eastAsia="uk-UA"/>
        </w:rPr>
      </w:pPr>
      <w:r w:rsidRPr="00FF1F97">
        <w:rPr>
          <w:rFonts w:ascii="Century" w:hAnsi="Century"/>
          <w:lang w:val="uk-UA" w:eastAsia="uk-UA"/>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14:paraId="328901DB" w14:textId="77777777" w:rsidR="00F67465" w:rsidRPr="00FF1F97" w:rsidRDefault="00F67465" w:rsidP="00BC45D9">
      <w:pPr>
        <w:pStyle w:val="rvps2"/>
        <w:shd w:val="clear" w:color="auto" w:fill="FFFFFF"/>
        <w:spacing w:before="0" w:beforeAutospacing="0" w:after="0" w:afterAutospacing="0"/>
        <w:ind w:firstLine="900"/>
        <w:jc w:val="both"/>
        <w:rPr>
          <w:rFonts w:ascii="Century" w:hAnsi="Century"/>
        </w:rPr>
      </w:pPr>
    </w:p>
    <w:p w14:paraId="4D18FA63" w14:textId="77777777" w:rsidR="003C4AB4" w:rsidRPr="00FF1F97" w:rsidRDefault="003C4AB4" w:rsidP="003C4AB4">
      <w:pPr>
        <w:pStyle w:val="rvps2"/>
        <w:shd w:val="clear" w:color="auto" w:fill="FFFFFF"/>
        <w:spacing w:before="0" w:beforeAutospacing="0" w:after="0" w:afterAutospacing="0"/>
        <w:ind w:firstLine="450"/>
        <w:jc w:val="center"/>
        <w:rPr>
          <w:rFonts w:ascii="Century" w:hAnsi="Century"/>
          <w:b/>
        </w:rPr>
      </w:pPr>
      <w:bookmarkStart w:id="22" w:name="n12927"/>
      <w:bookmarkStart w:id="23" w:name="n11876"/>
      <w:bookmarkEnd w:id="22"/>
      <w:bookmarkEnd w:id="23"/>
      <w:r w:rsidRPr="00FF1F97">
        <w:rPr>
          <w:rFonts w:ascii="Century" w:hAnsi="Century"/>
          <w:b/>
        </w:rPr>
        <w:t>7. Порядок сплати податку</w:t>
      </w:r>
    </w:p>
    <w:p w14:paraId="524A7AE9" w14:textId="77777777" w:rsidR="003C4AB4" w:rsidRPr="00FF1F97" w:rsidRDefault="003C4AB4" w:rsidP="00BC45D9">
      <w:pPr>
        <w:pStyle w:val="rvps2"/>
        <w:shd w:val="clear" w:color="auto" w:fill="FFFFFF"/>
        <w:spacing w:before="0" w:beforeAutospacing="0" w:after="0" w:afterAutospacing="0"/>
        <w:ind w:firstLine="900"/>
        <w:jc w:val="both"/>
        <w:rPr>
          <w:rFonts w:ascii="Century" w:hAnsi="Century"/>
        </w:rPr>
      </w:pPr>
      <w:bookmarkStart w:id="24" w:name="n11877"/>
      <w:bookmarkEnd w:id="24"/>
      <w:r w:rsidRPr="00FF1F97">
        <w:rPr>
          <w:rFonts w:ascii="Century" w:hAnsi="Century"/>
        </w:rPr>
        <w:t xml:space="preserve">Податок сплачується за місцем реєстрації об’єктів оподаткування і зараховується до відповідного бюджету згідно з положеннями </w:t>
      </w:r>
      <w:hyperlink r:id="rId11" w:tgtFrame="_blank" w:history="1">
        <w:r w:rsidRPr="00FF1F97">
          <w:rPr>
            <w:rStyle w:val="a8"/>
            <w:rFonts w:ascii="Century" w:hAnsi="Century"/>
            <w:color w:val="auto"/>
            <w:u w:val="none"/>
          </w:rPr>
          <w:t>Бюджетного кодексу України</w:t>
        </w:r>
      </w:hyperlink>
      <w:r w:rsidRPr="00FF1F97">
        <w:rPr>
          <w:rFonts w:ascii="Century" w:hAnsi="Century"/>
        </w:rPr>
        <w:t>.</w:t>
      </w:r>
    </w:p>
    <w:p w14:paraId="0E5A1969" w14:textId="77777777" w:rsidR="003C4AB4" w:rsidRPr="00FF1F97" w:rsidRDefault="003C4AB4" w:rsidP="00BC45D9">
      <w:pPr>
        <w:pStyle w:val="rvps2"/>
        <w:shd w:val="clear" w:color="auto" w:fill="FFFFFF"/>
        <w:spacing w:before="0" w:beforeAutospacing="0" w:after="0" w:afterAutospacing="0"/>
        <w:ind w:firstLine="900"/>
        <w:jc w:val="both"/>
        <w:rPr>
          <w:rFonts w:ascii="Century" w:hAnsi="Century"/>
        </w:rPr>
      </w:pPr>
    </w:p>
    <w:p w14:paraId="318D7FAD" w14:textId="77777777" w:rsidR="003C4AB4" w:rsidRPr="00FF1F97" w:rsidRDefault="003C4AB4" w:rsidP="00BC45D9">
      <w:pPr>
        <w:pStyle w:val="rvps2"/>
        <w:shd w:val="clear" w:color="auto" w:fill="FFFFFF"/>
        <w:spacing w:before="0" w:beforeAutospacing="0" w:after="0" w:afterAutospacing="0"/>
        <w:ind w:firstLine="900"/>
        <w:jc w:val="center"/>
        <w:rPr>
          <w:rFonts w:ascii="Century" w:hAnsi="Century"/>
          <w:b/>
        </w:rPr>
      </w:pPr>
      <w:bookmarkStart w:id="25" w:name="n11878"/>
      <w:bookmarkEnd w:id="25"/>
      <w:r w:rsidRPr="00FF1F97">
        <w:rPr>
          <w:rFonts w:ascii="Century" w:hAnsi="Century"/>
          <w:b/>
        </w:rPr>
        <w:t>8. Строки сплати податку</w:t>
      </w:r>
    </w:p>
    <w:p w14:paraId="1C67E1F9" w14:textId="77777777" w:rsidR="003C4AB4" w:rsidRPr="00FF1F97" w:rsidRDefault="003C4AB4" w:rsidP="00BC45D9">
      <w:pPr>
        <w:pStyle w:val="rvps2"/>
        <w:shd w:val="clear" w:color="auto" w:fill="FFFFFF"/>
        <w:spacing w:before="0" w:beforeAutospacing="0" w:after="0" w:afterAutospacing="0"/>
        <w:ind w:firstLine="900"/>
        <w:jc w:val="both"/>
        <w:rPr>
          <w:rFonts w:ascii="Century" w:hAnsi="Century"/>
        </w:rPr>
      </w:pPr>
      <w:bookmarkStart w:id="26" w:name="n11879"/>
      <w:bookmarkEnd w:id="26"/>
      <w:r w:rsidRPr="00FF1F97">
        <w:rPr>
          <w:rFonts w:ascii="Century" w:hAnsi="Century"/>
        </w:rPr>
        <w:t>Транспортний податок сплачується:</w:t>
      </w:r>
    </w:p>
    <w:p w14:paraId="5854C3EE" w14:textId="77777777" w:rsidR="003C4AB4" w:rsidRPr="00FF1F97" w:rsidRDefault="003C4AB4" w:rsidP="00BC45D9">
      <w:pPr>
        <w:pStyle w:val="rvps2"/>
        <w:shd w:val="clear" w:color="auto" w:fill="FFFFFF"/>
        <w:spacing w:before="0" w:beforeAutospacing="0" w:after="0" w:afterAutospacing="0"/>
        <w:ind w:firstLine="900"/>
        <w:jc w:val="both"/>
        <w:rPr>
          <w:rFonts w:ascii="Century" w:hAnsi="Century"/>
        </w:rPr>
      </w:pPr>
      <w:bookmarkStart w:id="27" w:name="n11880"/>
      <w:bookmarkEnd w:id="27"/>
      <w:r w:rsidRPr="00FF1F97">
        <w:rPr>
          <w:rFonts w:ascii="Century" w:hAnsi="Century"/>
        </w:rPr>
        <w:t>а) фізичними особами - протягом 60 днів з дня вручення податкового повідомлення-рішення;</w:t>
      </w:r>
    </w:p>
    <w:p w14:paraId="46ED5D53" w14:textId="77777777" w:rsidR="003C4AB4" w:rsidRPr="00FF1F97" w:rsidRDefault="003C4AB4" w:rsidP="004E6E86">
      <w:pPr>
        <w:pStyle w:val="rvps2"/>
        <w:shd w:val="clear" w:color="auto" w:fill="FFFFFF"/>
        <w:spacing w:before="0" w:beforeAutospacing="0" w:after="0" w:afterAutospacing="0"/>
        <w:ind w:firstLine="900"/>
        <w:jc w:val="both"/>
        <w:rPr>
          <w:rFonts w:ascii="Century" w:hAnsi="Century"/>
        </w:rPr>
      </w:pPr>
      <w:bookmarkStart w:id="28" w:name="n11881"/>
      <w:bookmarkEnd w:id="28"/>
      <w:r w:rsidRPr="00FF1F97">
        <w:rPr>
          <w:rFonts w:ascii="Century" w:hAnsi="Century"/>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bookmarkStart w:id="29" w:name="n11853"/>
      <w:bookmarkStart w:id="30" w:name="n6524"/>
      <w:bookmarkEnd w:id="29"/>
      <w:bookmarkEnd w:id="30"/>
      <w:r w:rsidR="004E6E86" w:rsidRPr="00FF1F97">
        <w:rPr>
          <w:rFonts w:ascii="Century" w:hAnsi="Century"/>
        </w:rPr>
        <w:t>.</w:t>
      </w:r>
    </w:p>
    <w:p w14:paraId="1B220728" w14:textId="77777777" w:rsidR="004E6E86" w:rsidRPr="00FF1F97" w:rsidRDefault="004E6E86" w:rsidP="004E6E86">
      <w:pPr>
        <w:pStyle w:val="rvps2"/>
        <w:shd w:val="clear" w:color="auto" w:fill="FFFFFF"/>
        <w:spacing w:before="0" w:beforeAutospacing="0" w:after="0" w:afterAutospacing="0"/>
        <w:ind w:firstLine="900"/>
        <w:jc w:val="both"/>
        <w:rPr>
          <w:rFonts w:ascii="Century" w:hAnsi="Century"/>
        </w:rPr>
      </w:pPr>
    </w:p>
    <w:p w14:paraId="03794062" w14:textId="77777777" w:rsidR="008A525F" w:rsidRPr="00FF1F97" w:rsidRDefault="004E6E86" w:rsidP="00946FBB">
      <w:pPr>
        <w:pStyle w:val="rvps2"/>
        <w:shd w:val="clear" w:color="auto" w:fill="FFFFFF"/>
        <w:spacing w:before="0" w:beforeAutospacing="0" w:after="150" w:afterAutospacing="0"/>
        <w:jc w:val="both"/>
        <w:rPr>
          <w:rStyle w:val="rvts46"/>
          <w:rFonts w:ascii="Century" w:hAnsi="Century"/>
          <w:b/>
          <w:iCs/>
        </w:rPr>
      </w:pPr>
      <w:r w:rsidRPr="00FF1F97">
        <w:rPr>
          <w:rStyle w:val="rvts46"/>
          <w:rFonts w:ascii="Century" w:hAnsi="Century"/>
          <w:b/>
          <w:iCs/>
        </w:rPr>
        <w:t xml:space="preserve">Секретар ради                </w:t>
      </w:r>
      <w:r w:rsidR="00094757" w:rsidRPr="00FF1F97">
        <w:rPr>
          <w:rStyle w:val="rvts46"/>
          <w:rFonts w:ascii="Century" w:hAnsi="Century"/>
          <w:b/>
          <w:iCs/>
        </w:rPr>
        <w:t xml:space="preserve">                               </w:t>
      </w:r>
      <w:r w:rsidRPr="00FF1F97">
        <w:rPr>
          <w:rStyle w:val="rvts46"/>
          <w:rFonts w:ascii="Century" w:hAnsi="Century"/>
          <w:b/>
          <w:iCs/>
        </w:rPr>
        <w:t xml:space="preserve">          </w:t>
      </w:r>
      <w:r w:rsidR="00094757" w:rsidRPr="00FF1F97">
        <w:rPr>
          <w:rStyle w:val="rvts46"/>
          <w:rFonts w:ascii="Century" w:hAnsi="Century"/>
          <w:b/>
          <w:iCs/>
        </w:rPr>
        <w:t>Микола ЛУПІЙ</w:t>
      </w:r>
    </w:p>
    <w:p w14:paraId="5DA7A194" w14:textId="0B440ADA" w:rsidR="008A525F" w:rsidRPr="00FF1F97" w:rsidRDefault="008A525F" w:rsidP="008A525F">
      <w:pPr>
        <w:pStyle w:val="rvps2"/>
        <w:shd w:val="clear" w:color="auto" w:fill="FFFFFF"/>
        <w:spacing w:before="0" w:beforeAutospacing="0" w:after="0" w:afterAutospacing="0"/>
        <w:ind w:left="5103"/>
        <w:jc w:val="both"/>
        <w:rPr>
          <w:rStyle w:val="rvts9"/>
          <w:rFonts w:ascii="Century" w:hAnsi="Century"/>
          <w:b/>
        </w:rPr>
      </w:pPr>
      <w:r w:rsidRPr="00FF1F97">
        <w:rPr>
          <w:rStyle w:val="rvts46"/>
          <w:rFonts w:ascii="Century" w:hAnsi="Century"/>
          <w:b/>
          <w:iCs/>
        </w:rPr>
        <w:br w:type="page"/>
      </w:r>
      <w:r w:rsidRPr="00FF1F97">
        <w:rPr>
          <w:rStyle w:val="rvts9"/>
          <w:rFonts w:ascii="Century" w:hAnsi="Century"/>
          <w:b/>
        </w:rPr>
        <w:lastRenderedPageBreak/>
        <w:t xml:space="preserve">Додаток </w:t>
      </w:r>
      <w:r w:rsidR="00946FBB" w:rsidRPr="00FF1F97">
        <w:rPr>
          <w:rStyle w:val="rvts9"/>
          <w:rFonts w:ascii="Century" w:hAnsi="Century"/>
          <w:b/>
        </w:rPr>
        <w:t>2</w:t>
      </w:r>
    </w:p>
    <w:p w14:paraId="02EE8A87" w14:textId="77777777" w:rsidR="008A525F" w:rsidRPr="00FF1F97" w:rsidRDefault="008A525F" w:rsidP="008A525F">
      <w:pPr>
        <w:pStyle w:val="rvps2"/>
        <w:shd w:val="clear" w:color="auto" w:fill="FFFFFF"/>
        <w:spacing w:before="0" w:beforeAutospacing="0" w:after="0" w:afterAutospacing="0"/>
        <w:ind w:left="5103"/>
        <w:rPr>
          <w:rStyle w:val="rvts9"/>
          <w:rFonts w:ascii="Century" w:hAnsi="Century"/>
          <w:bCs/>
        </w:rPr>
      </w:pPr>
      <w:r w:rsidRPr="00FF1F97">
        <w:rPr>
          <w:rStyle w:val="rvts9"/>
          <w:rFonts w:ascii="Century" w:hAnsi="Century"/>
          <w:bCs/>
        </w:rPr>
        <w:t>до рішення сесії Городоцької міської ради Львівської області</w:t>
      </w:r>
    </w:p>
    <w:p w14:paraId="144515C4" w14:textId="19F5F471" w:rsidR="008A525F" w:rsidRPr="00FF1F97" w:rsidRDefault="008A525F" w:rsidP="008A525F">
      <w:pPr>
        <w:pStyle w:val="rvps2"/>
        <w:shd w:val="clear" w:color="auto" w:fill="FFFFFF"/>
        <w:spacing w:before="0" w:beforeAutospacing="0" w:after="0" w:afterAutospacing="0"/>
        <w:ind w:left="5103"/>
        <w:rPr>
          <w:rStyle w:val="rvts9"/>
          <w:rFonts w:ascii="Century" w:hAnsi="Century"/>
          <w:bCs/>
        </w:rPr>
      </w:pPr>
      <w:r w:rsidRPr="00FF1F97">
        <w:rPr>
          <w:rStyle w:val="rvts9"/>
          <w:rFonts w:ascii="Century" w:hAnsi="Century"/>
          <w:bCs/>
        </w:rPr>
        <w:t xml:space="preserve">24.06.2021 № </w:t>
      </w:r>
      <w:r w:rsidR="00946FBB" w:rsidRPr="00FF1F97">
        <w:rPr>
          <w:rStyle w:val="rvts9"/>
          <w:rFonts w:ascii="Century" w:hAnsi="Century"/>
          <w:bCs/>
        </w:rPr>
        <w:t>1632</w:t>
      </w:r>
    </w:p>
    <w:p w14:paraId="3960C6F0" w14:textId="77777777" w:rsidR="003C4AB4" w:rsidRPr="00FF1F97" w:rsidRDefault="003C4AB4" w:rsidP="008A525F">
      <w:pPr>
        <w:pStyle w:val="rvps2"/>
        <w:shd w:val="clear" w:color="auto" w:fill="FFFFFF"/>
        <w:spacing w:before="0" w:beforeAutospacing="0" w:after="0" w:afterAutospacing="0"/>
        <w:jc w:val="both"/>
        <w:rPr>
          <w:rStyle w:val="rvts9"/>
          <w:rFonts w:ascii="Century" w:hAnsi="Century"/>
          <w:b/>
          <w:bCs/>
        </w:rPr>
      </w:pPr>
    </w:p>
    <w:p w14:paraId="50BCC1A6" w14:textId="77777777" w:rsidR="00EA6022" w:rsidRPr="00FF1F97" w:rsidRDefault="003C4AB4" w:rsidP="008A525F">
      <w:pPr>
        <w:pStyle w:val="rvps2"/>
        <w:shd w:val="clear" w:color="auto" w:fill="FFFFFF"/>
        <w:spacing w:before="0" w:beforeAutospacing="0" w:after="0" w:afterAutospacing="0"/>
        <w:ind w:firstLine="450"/>
        <w:jc w:val="center"/>
        <w:rPr>
          <w:rStyle w:val="rvts9"/>
          <w:rFonts w:ascii="Century" w:hAnsi="Century"/>
          <w:b/>
          <w:bCs/>
        </w:rPr>
      </w:pPr>
      <w:r w:rsidRPr="00FF1F97">
        <w:rPr>
          <w:rFonts w:ascii="Century" w:hAnsi="Century"/>
          <w:b/>
        </w:rPr>
        <w:t xml:space="preserve">Положення про туристичний збір </w:t>
      </w:r>
      <w:r w:rsidR="00EA6022" w:rsidRPr="00FF1F97">
        <w:rPr>
          <w:rFonts w:ascii="Century" w:hAnsi="Century"/>
          <w:b/>
        </w:rPr>
        <w:t xml:space="preserve">на </w:t>
      </w:r>
      <w:r w:rsidR="00EA6022" w:rsidRPr="00FF1F97">
        <w:rPr>
          <w:rStyle w:val="rvts9"/>
          <w:rFonts w:ascii="Century" w:hAnsi="Century"/>
          <w:b/>
          <w:bCs/>
        </w:rPr>
        <w:t>території</w:t>
      </w:r>
    </w:p>
    <w:p w14:paraId="745DDCAF" w14:textId="77777777" w:rsidR="00EA6022" w:rsidRPr="00FF1F97" w:rsidRDefault="00EA6022" w:rsidP="008A525F">
      <w:pPr>
        <w:pStyle w:val="rvps2"/>
        <w:shd w:val="clear" w:color="auto" w:fill="FFFFFF"/>
        <w:spacing w:before="0" w:beforeAutospacing="0" w:after="0" w:afterAutospacing="0"/>
        <w:ind w:firstLine="450"/>
        <w:jc w:val="center"/>
        <w:rPr>
          <w:rStyle w:val="rvts9"/>
          <w:rFonts w:ascii="Century" w:hAnsi="Century"/>
          <w:b/>
          <w:bCs/>
        </w:rPr>
      </w:pPr>
      <w:r w:rsidRPr="00FF1F97">
        <w:rPr>
          <w:rStyle w:val="rvts9"/>
          <w:rFonts w:ascii="Century" w:hAnsi="Century"/>
          <w:b/>
          <w:bCs/>
        </w:rPr>
        <w:t xml:space="preserve"> Городоцької міської ради Львівської області з 1 січня 2022 року</w:t>
      </w:r>
    </w:p>
    <w:p w14:paraId="4FE82E8B" w14:textId="77777777" w:rsidR="003C4AB4" w:rsidRPr="00FF1F97" w:rsidRDefault="003C4AB4" w:rsidP="008A525F">
      <w:pPr>
        <w:pStyle w:val="rvps2"/>
        <w:shd w:val="clear" w:color="auto" w:fill="FFFFFF"/>
        <w:spacing w:before="0" w:beforeAutospacing="0" w:after="0" w:afterAutospacing="0"/>
        <w:jc w:val="center"/>
        <w:rPr>
          <w:rFonts w:ascii="Century" w:hAnsi="Century"/>
          <w:b/>
        </w:rPr>
      </w:pPr>
    </w:p>
    <w:p w14:paraId="194E65D6" w14:textId="77777777" w:rsidR="003C4AB4" w:rsidRPr="00FF1F97" w:rsidRDefault="003C4AB4" w:rsidP="008A525F">
      <w:pPr>
        <w:pStyle w:val="rvps2"/>
        <w:shd w:val="clear" w:color="auto" w:fill="FFFFFF"/>
        <w:spacing w:before="0" w:beforeAutospacing="0" w:after="0" w:afterAutospacing="0"/>
        <w:ind w:firstLine="450"/>
        <w:jc w:val="center"/>
        <w:rPr>
          <w:rFonts w:ascii="Century" w:hAnsi="Century"/>
          <w:b/>
        </w:rPr>
      </w:pPr>
      <w:bookmarkStart w:id="31" w:name="n11883"/>
      <w:bookmarkEnd w:id="31"/>
      <w:r w:rsidRPr="00FF1F97">
        <w:rPr>
          <w:rFonts w:ascii="Century" w:hAnsi="Century"/>
          <w:b/>
        </w:rPr>
        <w:t>1.Визначення понять</w:t>
      </w:r>
    </w:p>
    <w:p w14:paraId="6FA58653"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r w:rsidRPr="00FF1F97">
        <w:rPr>
          <w:rFonts w:ascii="Century" w:hAnsi="Century"/>
        </w:rPr>
        <w:t>Туристичний збір - це місцевий збір, кошти від якого зараховуються до місцевого бюджету.</w:t>
      </w:r>
    </w:p>
    <w:p w14:paraId="3C1F1836"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p>
    <w:p w14:paraId="0FF0A56A" w14:textId="77777777" w:rsidR="001F711E" w:rsidRPr="00FF1F97" w:rsidRDefault="003C4AB4" w:rsidP="008A525F">
      <w:pPr>
        <w:pStyle w:val="rvps2"/>
        <w:numPr>
          <w:ilvl w:val="0"/>
          <w:numId w:val="1"/>
        </w:numPr>
        <w:shd w:val="clear" w:color="auto" w:fill="FFFFFF"/>
        <w:spacing w:before="0" w:beforeAutospacing="0" w:after="0" w:afterAutospacing="0"/>
        <w:jc w:val="center"/>
        <w:rPr>
          <w:rFonts w:ascii="Century" w:hAnsi="Century"/>
          <w:b/>
        </w:rPr>
      </w:pPr>
      <w:bookmarkStart w:id="32" w:name="n11884"/>
      <w:bookmarkEnd w:id="32"/>
      <w:r w:rsidRPr="00FF1F97">
        <w:rPr>
          <w:rFonts w:ascii="Century" w:hAnsi="Century"/>
          <w:b/>
        </w:rPr>
        <w:t>Платники збору</w:t>
      </w:r>
    </w:p>
    <w:p w14:paraId="1E068629"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33" w:name="n11885"/>
      <w:bookmarkEnd w:id="33"/>
      <w:r w:rsidRPr="00FF1F97">
        <w:rPr>
          <w:rFonts w:ascii="Century" w:hAnsi="Century"/>
        </w:rPr>
        <w:t xml:space="preserve">2.1. Платниками збору є громадяни України, іноземці, а також особи без громадянства, які прибувають на територію </w:t>
      </w:r>
      <w:r w:rsidR="003C258D" w:rsidRPr="00FF1F97">
        <w:rPr>
          <w:rFonts w:ascii="Century" w:hAnsi="Century"/>
        </w:rPr>
        <w:t>громади</w:t>
      </w:r>
      <w:r w:rsidRPr="00FF1F97">
        <w:rPr>
          <w:rFonts w:ascii="Century" w:hAnsi="Century"/>
        </w:rPr>
        <w:t xml:space="preserve">, на якій діє рішення Городоцької міської ради про встановлення туристичного збору, та тимчасово розміщуються у місцях проживання (ночівлі), визначених </w:t>
      </w:r>
      <w:hyperlink r:id="rId12" w:anchor="n11901" w:history="1">
        <w:r w:rsidRPr="00FF1F97">
          <w:rPr>
            <w:rStyle w:val="a8"/>
            <w:rFonts w:ascii="Century" w:hAnsi="Century"/>
            <w:color w:val="auto"/>
            <w:u w:val="none"/>
          </w:rPr>
          <w:t xml:space="preserve">підпунктом </w:t>
        </w:r>
        <w:r w:rsidR="001F711E" w:rsidRPr="00FF1F97">
          <w:rPr>
            <w:rStyle w:val="a8"/>
            <w:rFonts w:ascii="Century" w:hAnsi="Century"/>
            <w:color w:val="auto"/>
            <w:u w:val="none"/>
          </w:rPr>
          <w:t>268.</w:t>
        </w:r>
        <w:r w:rsidRPr="00FF1F97">
          <w:rPr>
            <w:rStyle w:val="a8"/>
            <w:rFonts w:ascii="Century" w:hAnsi="Century"/>
            <w:color w:val="auto"/>
            <w:u w:val="none"/>
          </w:rPr>
          <w:t>5.1</w:t>
        </w:r>
      </w:hyperlink>
      <w:r w:rsidRPr="00FF1F97">
        <w:rPr>
          <w:rFonts w:ascii="Century" w:hAnsi="Century"/>
        </w:rPr>
        <w:t xml:space="preserve"> пункту </w:t>
      </w:r>
      <w:r w:rsidR="001F711E" w:rsidRPr="00FF1F97">
        <w:rPr>
          <w:rFonts w:ascii="Century" w:hAnsi="Century"/>
        </w:rPr>
        <w:t>268.</w:t>
      </w:r>
      <w:r w:rsidRPr="00FF1F97">
        <w:rPr>
          <w:rFonts w:ascii="Century" w:hAnsi="Century"/>
        </w:rPr>
        <w:t xml:space="preserve">5 </w:t>
      </w:r>
      <w:r w:rsidR="001F711E" w:rsidRPr="00FF1F97">
        <w:rPr>
          <w:rFonts w:ascii="Century" w:hAnsi="Century"/>
        </w:rPr>
        <w:t>статті 268 ПКУ</w:t>
      </w:r>
      <w:r w:rsidRPr="00FF1F97">
        <w:rPr>
          <w:rFonts w:ascii="Century" w:hAnsi="Century"/>
        </w:rPr>
        <w:t>.</w:t>
      </w:r>
    </w:p>
    <w:p w14:paraId="7B55A4A3"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34" w:name="n12942"/>
      <w:bookmarkStart w:id="35" w:name="n11886"/>
      <w:bookmarkEnd w:id="34"/>
      <w:bookmarkEnd w:id="35"/>
      <w:r w:rsidRPr="00FF1F97">
        <w:rPr>
          <w:rFonts w:ascii="Century" w:hAnsi="Century"/>
        </w:rPr>
        <w:t>2.2. Платниками збору не можуть бути особи, які:</w:t>
      </w:r>
    </w:p>
    <w:p w14:paraId="1F9A07F0" w14:textId="77777777" w:rsidR="004C549E" w:rsidRPr="00FF1F97" w:rsidRDefault="004C549E" w:rsidP="008A525F">
      <w:pPr>
        <w:pStyle w:val="rvps2"/>
        <w:shd w:val="clear" w:color="auto" w:fill="FFFFFF"/>
        <w:spacing w:before="0" w:beforeAutospacing="0" w:after="0" w:afterAutospacing="0"/>
        <w:ind w:firstLine="851"/>
        <w:jc w:val="both"/>
        <w:rPr>
          <w:rFonts w:ascii="Century" w:hAnsi="Century"/>
        </w:rPr>
      </w:pPr>
      <w:bookmarkStart w:id="36" w:name="n11887"/>
      <w:bookmarkEnd w:id="36"/>
      <w:r w:rsidRPr="00FF1F97">
        <w:rPr>
          <w:rFonts w:ascii="Century" w:hAnsi="Century"/>
        </w:rPr>
        <w:t>а) постійно проживають, у тому числі на умовах договорів найму, у селі, селищі або місті, радами яких встановлено такий збір;</w:t>
      </w:r>
    </w:p>
    <w:p w14:paraId="732F4C70" w14:textId="77777777" w:rsidR="004C549E" w:rsidRPr="00FF1F97" w:rsidRDefault="004C549E" w:rsidP="008A525F">
      <w:pPr>
        <w:pStyle w:val="rvps2"/>
        <w:shd w:val="clear" w:color="auto" w:fill="FFFFFF"/>
        <w:spacing w:before="0" w:beforeAutospacing="0" w:after="0" w:afterAutospacing="0"/>
        <w:ind w:firstLine="851"/>
        <w:jc w:val="both"/>
        <w:rPr>
          <w:rFonts w:ascii="Century" w:hAnsi="Century"/>
        </w:rPr>
      </w:pPr>
      <w:bookmarkStart w:id="37" w:name="n11888"/>
      <w:bookmarkEnd w:id="37"/>
      <w:r w:rsidRPr="00FF1F97">
        <w:rPr>
          <w:rFonts w:ascii="Century" w:hAnsi="Century"/>
        </w:rPr>
        <w:t>б) особи визначені </w:t>
      </w:r>
      <w:hyperlink r:id="rId13" w:anchor="n692" w:history="1">
        <w:r w:rsidRPr="00FF1F97">
          <w:rPr>
            <w:rStyle w:val="a8"/>
            <w:rFonts w:ascii="Century" w:hAnsi="Century"/>
            <w:color w:val="auto"/>
            <w:u w:val="none"/>
          </w:rPr>
          <w:t>підпунктом "в"</w:t>
        </w:r>
      </w:hyperlink>
      <w:r w:rsidRPr="00FF1F97">
        <w:rPr>
          <w:rFonts w:ascii="Century" w:hAnsi="Century"/>
        </w:rPr>
        <w:t> підпункту 14.1.213 пункту 14.1 статті 14 цього Кодексу, які прибули у відрядження або тимчасово розміщуються у місцях проживання (ночівлі), визначених </w:t>
      </w:r>
      <w:hyperlink r:id="rId14" w:anchor="n11901" w:history="1">
        <w:r w:rsidRPr="00FF1F97">
          <w:rPr>
            <w:rStyle w:val="a8"/>
            <w:rFonts w:ascii="Century" w:hAnsi="Century"/>
            <w:color w:val="auto"/>
            <w:u w:val="none"/>
          </w:rPr>
          <w:t>підпунктом "б"</w:t>
        </w:r>
      </w:hyperlink>
      <w:r w:rsidRPr="00FF1F97">
        <w:rPr>
          <w:rFonts w:ascii="Century" w:hAnsi="Century"/>
        </w:rPr>
        <w:t> підпункту 268.5.1 пункту 268.5 цієї статті, що належать фізичним особам на праві власності або на праві користування за договором найму;</w:t>
      </w:r>
    </w:p>
    <w:p w14:paraId="7894651D" w14:textId="77777777" w:rsidR="004C549E" w:rsidRPr="00FF1F97" w:rsidRDefault="004C549E" w:rsidP="008A525F">
      <w:pPr>
        <w:pStyle w:val="rvps2"/>
        <w:shd w:val="clear" w:color="auto" w:fill="FFFFFF"/>
        <w:spacing w:before="0" w:beforeAutospacing="0" w:after="0" w:afterAutospacing="0"/>
        <w:ind w:firstLine="851"/>
        <w:jc w:val="both"/>
        <w:rPr>
          <w:rFonts w:ascii="Century" w:hAnsi="Century"/>
        </w:rPr>
      </w:pPr>
      <w:bookmarkStart w:id="38" w:name="n15376"/>
      <w:bookmarkStart w:id="39" w:name="n11889"/>
      <w:bookmarkEnd w:id="38"/>
      <w:bookmarkEnd w:id="39"/>
      <w:r w:rsidRPr="00FF1F97">
        <w:rPr>
          <w:rFonts w:ascii="Century" w:hAnsi="Century"/>
        </w:rPr>
        <w:t>в) 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14:paraId="6FF7F042" w14:textId="77777777" w:rsidR="004C549E" w:rsidRPr="00FF1F97" w:rsidRDefault="004C549E" w:rsidP="008A525F">
      <w:pPr>
        <w:pStyle w:val="rvps2"/>
        <w:shd w:val="clear" w:color="auto" w:fill="FFFFFF"/>
        <w:spacing w:before="0" w:beforeAutospacing="0" w:after="0" w:afterAutospacing="0"/>
        <w:ind w:firstLine="851"/>
        <w:jc w:val="both"/>
        <w:rPr>
          <w:rFonts w:ascii="Century" w:hAnsi="Century"/>
        </w:rPr>
      </w:pPr>
      <w:bookmarkStart w:id="40" w:name="n11890"/>
      <w:bookmarkEnd w:id="40"/>
      <w:r w:rsidRPr="00FF1F97">
        <w:rPr>
          <w:rFonts w:ascii="Century" w:hAnsi="Century"/>
        </w:rPr>
        <w:t>г) ветерани війни;</w:t>
      </w:r>
    </w:p>
    <w:p w14:paraId="15C91561" w14:textId="77777777" w:rsidR="004C549E" w:rsidRPr="00FF1F97" w:rsidRDefault="004C549E" w:rsidP="008A525F">
      <w:pPr>
        <w:pStyle w:val="rvps2"/>
        <w:shd w:val="clear" w:color="auto" w:fill="FFFFFF"/>
        <w:spacing w:before="0" w:beforeAutospacing="0" w:after="0" w:afterAutospacing="0"/>
        <w:ind w:firstLine="851"/>
        <w:jc w:val="both"/>
        <w:rPr>
          <w:rFonts w:ascii="Century" w:hAnsi="Century"/>
        </w:rPr>
      </w:pPr>
      <w:bookmarkStart w:id="41" w:name="n11891"/>
      <w:bookmarkEnd w:id="41"/>
      <w:r w:rsidRPr="00FF1F97">
        <w:rPr>
          <w:rFonts w:ascii="Century" w:hAnsi="Century"/>
        </w:rPr>
        <w:t>ґ) учасники ліквідації наслідків аварії на Чорнобильській АЕС;</w:t>
      </w:r>
    </w:p>
    <w:p w14:paraId="5E45F863" w14:textId="77777777" w:rsidR="004C549E" w:rsidRPr="00FF1F97" w:rsidRDefault="004C549E" w:rsidP="008A525F">
      <w:pPr>
        <w:pStyle w:val="rvps2"/>
        <w:shd w:val="clear" w:color="auto" w:fill="FFFFFF"/>
        <w:spacing w:before="0" w:beforeAutospacing="0" w:after="0" w:afterAutospacing="0"/>
        <w:ind w:firstLine="851"/>
        <w:jc w:val="both"/>
        <w:rPr>
          <w:rFonts w:ascii="Century" w:hAnsi="Century"/>
        </w:rPr>
      </w:pPr>
      <w:bookmarkStart w:id="42" w:name="n11892"/>
      <w:bookmarkEnd w:id="42"/>
      <w:r w:rsidRPr="00FF1F97">
        <w:rPr>
          <w:rFonts w:ascii="Century" w:hAnsi="Century"/>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3D56D91D" w14:textId="77777777" w:rsidR="004C549E" w:rsidRPr="00FF1F97" w:rsidRDefault="004C549E" w:rsidP="008A525F">
      <w:pPr>
        <w:pStyle w:val="rvps2"/>
        <w:shd w:val="clear" w:color="auto" w:fill="FFFFFF"/>
        <w:spacing w:before="0" w:beforeAutospacing="0" w:after="0" w:afterAutospacing="0"/>
        <w:ind w:firstLine="851"/>
        <w:jc w:val="both"/>
        <w:rPr>
          <w:rFonts w:ascii="Century" w:hAnsi="Century"/>
        </w:rPr>
      </w:pPr>
      <w:bookmarkStart w:id="43" w:name="n11893"/>
      <w:bookmarkEnd w:id="43"/>
      <w:r w:rsidRPr="00FF1F97">
        <w:rPr>
          <w:rFonts w:ascii="Century" w:hAnsi="Century"/>
        </w:rPr>
        <w:t>е) діти віком до 18 років;</w:t>
      </w:r>
    </w:p>
    <w:p w14:paraId="47D3FDA2" w14:textId="77777777" w:rsidR="004C549E" w:rsidRPr="00FF1F97" w:rsidRDefault="004C549E" w:rsidP="008A525F">
      <w:pPr>
        <w:pStyle w:val="rvps2"/>
        <w:shd w:val="clear" w:color="auto" w:fill="FFFFFF"/>
        <w:spacing w:before="0" w:beforeAutospacing="0" w:after="0" w:afterAutospacing="0"/>
        <w:ind w:firstLine="851"/>
        <w:jc w:val="both"/>
        <w:rPr>
          <w:rFonts w:ascii="Century" w:hAnsi="Century"/>
        </w:rPr>
      </w:pPr>
      <w:bookmarkStart w:id="44" w:name="n11894"/>
      <w:bookmarkEnd w:id="44"/>
      <w:r w:rsidRPr="00FF1F97">
        <w:rPr>
          <w:rFonts w:ascii="Century" w:hAnsi="Century"/>
        </w:rPr>
        <w:t>є) дитячі лікувально-профілактичні, фізкультурно-оздоровчі та санаторно-курортні заклади;</w:t>
      </w:r>
    </w:p>
    <w:p w14:paraId="2AB6105C" w14:textId="77777777" w:rsidR="004C549E" w:rsidRPr="00FF1F97" w:rsidRDefault="004C549E" w:rsidP="008A525F">
      <w:pPr>
        <w:pStyle w:val="rvps2"/>
        <w:shd w:val="clear" w:color="auto" w:fill="FFFFFF"/>
        <w:spacing w:before="0" w:beforeAutospacing="0" w:after="0" w:afterAutospacing="0"/>
        <w:ind w:firstLine="851"/>
        <w:jc w:val="both"/>
        <w:rPr>
          <w:rFonts w:ascii="Century" w:hAnsi="Century"/>
        </w:rPr>
      </w:pPr>
      <w:bookmarkStart w:id="45" w:name="n15378"/>
      <w:bookmarkEnd w:id="45"/>
      <w:r w:rsidRPr="00FF1F97">
        <w:rPr>
          <w:rFonts w:ascii="Century" w:hAnsi="Century"/>
        </w:rPr>
        <w:t>ж) члени сім’ї фізичної особи першого та/або другого ступеня споріднення, визначені відповідно до </w:t>
      </w:r>
      <w:hyperlink r:id="rId15" w:anchor="n777" w:history="1">
        <w:r w:rsidRPr="00FF1F97">
          <w:rPr>
            <w:rStyle w:val="a8"/>
            <w:rFonts w:ascii="Century" w:hAnsi="Century"/>
            <w:color w:val="auto"/>
            <w:u w:val="none"/>
          </w:rPr>
          <w:t>підпункту 14.1.263</w:t>
        </w:r>
      </w:hyperlink>
      <w:r w:rsidRPr="00FF1F97">
        <w:rPr>
          <w:rFonts w:ascii="Century" w:hAnsi="Century"/>
        </w:rPr>
        <w:t> пункту 14.1 статті 14 цього Кодексу, які тимчасово розміщуються такою фізичною особою у місцях проживання (ночівлі), визначених </w:t>
      </w:r>
      <w:hyperlink r:id="rId16" w:anchor="n11901" w:history="1">
        <w:r w:rsidRPr="00FF1F97">
          <w:rPr>
            <w:rStyle w:val="a8"/>
            <w:rFonts w:ascii="Century" w:hAnsi="Century"/>
            <w:color w:val="auto"/>
            <w:u w:val="none"/>
          </w:rPr>
          <w:t>підпунктом "б"</w:t>
        </w:r>
      </w:hyperlink>
      <w:r w:rsidRPr="00FF1F97">
        <w:rPr>
          <w:rFonts w:ascii="Century" w:hAnsi="Century"/>
        </w:rPr>
        <w:t> підпункту 268.5.1 пункту 268.5 цієї статті, що належать їй на праві власності або на праві користування за договором найму;</w:t>
      </w:r>
    </w:p>
    <w:p w14:paraId="259E7177" w14:textId="77777777" w:rsidR="004C549E" w:rsidRPr="00FF1F97" w:rsidRDefault="004C549E" w:rsidP="008A525F">
      <w:pPr>
        <w:pStyle w:val="rvps2"/>
        <w:shd w:val="clear" w:color="auto" w:fill="FFFFFF"/>
        <w:spacing w:before="0" w:beforeAutospacing="0" w:after="0" w:afterAutospacing="0"/>
        <w:ind w:firstLine="851"/>
        <w:jc w:val="both"/>
        <w:rPr>
          <w:rFonts w:ascii="Century" w:hAnsi="Century"/>
        </w:rPr>
      </w:pPr>
      <w:bookmarkStart w:id="46" w:name="n17433"/>
      <w:bookmarkEnd w:id="46"/>
      <w:r w:rsidRPr="00FF1F97">
        <w:rPr>
          <w:rFonts w:ascii="Century" w:hAnsi="Century"/>
        </w:rPr>
        <w:t>з) взяті на облік як внутрішньо переміщені особи відповідно до </w:t>
      </w:r>
      <w:hyperlink r:id="rId17" w:tgtFrame="_blank" w:history="1">
        <w:r w:rsidRPr="00FF1F97">
          <w:rPr>
            <w:rStyle w:val="a8"/>
            <w:rFonts w:ascii="Century" w:hAnsi="Century"/>
            <w:color w:val="auto"/>
            <w:u w:val="none"/>
          </w:rPr>
          <w:t>Закону України</w:t>
        </w:r>
      </w:hyperlink>
      <w:r w:rsidRPr="00FF1F97">
        <w:rPr>
          <w:rFonts w:ascii="Century" w:hAnsi="Century"/>
        </w:rPr>
        <w:t> "Про забезпечення прав і свобод внутрішньо переміщених осіб", які тимчасово розміщуються у місцях проживання (ночівлі), визначених підпунктом 268.5.1 пункту 268.5 цієї статті,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p>
    <w:p w14:paraId="4A73A61D"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r w:rsidRPr="00FF1F97">
        <w:rPr>
          <w:rFonts w:ascii="Century" w:hAnsi="Century"/>
        </w:rPr>
        <w:t>.</w:t>
      </w:r>
      <w:bookmarkStart w:id="47" w:name="n15377"/>
      <w:bookmarkEnd w:id="47"/>
    </w:p>
    <w:p w14:paraId="51B8961A" w14:textId="77777777" w:rsidR="003C4AB4" w:rsidRPr="00FF1F97" w:rsidRDefault="003C4AB4" w:rsidP="008A525F">
      <w:pPr>
        <w:pStyle w:val="rvps2"/>
        <w:shd w:val="clear" w:color="auto" w:fill="FFFFFF"/>
        <w:spacing w:before="0" w:beforeAutospacing="0" w:after="0" w:afterAutospacing="0"/>
        <w:ind w:firstLine="450"/>
        <w:jc w:val="center"/>
        <w:rPr>
          <w:rFonts w:ascii="Century" w:hAnsi="Century"/>
          <w:b/>
        </w:rPr>
      </w:pPr>
      <w:bookmarkStart w:id="48" w:name="n11895"/>
      <w:bookmarkEnd w:id="48"/>
      <w:r w:rsidRPr="00FF1F97">
        <w:rPr>
          <w:rFonts w:ascii="Century" w:hAnsi="Century"/>
          <w:b/>
        </w:rPr>
        <w:lastRenderedPageBreak/>
        <w:t>3. Ставка збору</w:t>
      </w:r>
    </w:p>
    <w:p w14:paraId="31634F0B"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49" w:name="n11896"/>
      <w:bookmarkEnd w:id="49"/>
      <w:r w:rsidRPr="00FF1F97">
        <w:rPr>
          <w:rFonts w:ascii="Century" w:hAnsi="Century"/>
        </w:rPr>
        <w:t xml:space="preserve">Ставка збору встановлюється за рішенням Городоцької міської ради за кожну добу тимчасового розміщення особи у місцях проживання (ночівлі), визначених підпунктом 5.1 пункту 5 цього Положення, у розмірі до 0,5 відсотка - для внутрішнього туризму та до </w:t>
      </w:r>
      <w:r w:rsidR="00A70109" w:rsidRPr="00FF1F97">
        <w:rPr>
          <w:rFonts w:ascii="Century" w:hAnsi="Century"/>
        </w:rPr>
        <w:t>0,</w:t>
      </w:r>
      <w:r w:rsidRPr="00FF1F97">
        <w:rPr>
          <w:rFonts w:ascii="Century" w:hAnsi="Century"/>
        </w:rPr>
        <w:t>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14:paraId="49DC2C8A"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p>
    <w:p w14:paraId="1EA59848" w14:textId="77777777" w:rsidR="003C4AB4" w:rsidRPr="00FF1F97" w:rsidRDefault="003C4AB4" w:rsidP="008A525F">
      <w:pPr>
        <w:pStyle w:val="rvps2"/>
        <w:shd w:val="clear" w:color="auto" w:fill="FFFFFF"/>
        <w:spacing w:before="0" w:beforeAutospacing="0" w:after="0" w:afterAutospacing="0"/>
        <w:ind w:firstLine="900"/>
        <w:jc w:val="center"/>
        <w:rPr>
          <w:rFonts w:ascii="Century" w:hAnsi="Century"/>
          <w:b/>
        </w:rPr>
      </w:pPr>
      <w:bookmarkStart w:id="50" w:name="n15380"/>
      <w:bookmarkStart w:id="51" w:name="n11897"/>
      <w:bookmarkEnd w:id="50"/>
      <w:bookmarkEnd w:id="51"/>
      <w:r w:rsidRPr="00FF1F97">
        <w:rPr>
          <w:rFonts w:ascii="Century" w:hAnsi="Century"/>
          <w:b/>
        </w:rPr>
        <w:t>4. База справляння збору</w:t>
      </w:r>
    </w:p>
    <w:p w14:paraId="51CFB615"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52" w:name="n11898"/>
      <w:bookmarkEnd w:id="52"/>
      <w:r w:rsidRPr="00FF1F97">
        <w:rPr>
          <w:rFonts w:ascii="Century" w:hAnsi="Century"/>
        </w:rPr>
        <w:t xml:space="preserve">Базою справляння збору є загальна кількість діб тимчасового розміщення у місцях проживання (ночівлі), визначених підпунктом </w:t>
      </w:r>
      <w:r w:rsidR="004C549E" w:rsidRPr="00FF1F97">
        <w:rPr>
          <w:rFonts w:ascii="Century" w:hAnsi="Century"/>
        </w:rPr>
        <w:t>268.</w:t>
      </w:r>
      <w:r w:rsidRPr="00FF1F97">
        <w:rPr>
          <w:rFonts w:ascii="Century" w:hAnsi="Century"/>
        </w:rPr>
        <w:t xml:space="preserve">5.1 пункту </w:t>
      </w:r>
      <w:r w:rsidR="004C549E" w:rsidRPr="00FF1F97">
        <w:rPr>
          <w:rFonts w:ascii="Century" w:hAnsi="Century"/>
        </w:rPr>
        <w:t>268.</w:t>
      </w:r>
      <w:r w:rsidRPr="00FF1F97">
        <w:rPr>
          <w:rFonts w:ascii="Century" w:hAnsi="Century"/>
        </w:rPr>
        <w:t xml:space="preserve">5 </w:t>
      </w:r>
      <w:r w:rsidR="004C549E" w:rsidRPr="00FF1F97">
        <w:rPr>
          <w:rFonts w:ascii="Century" w:hAnsi="Century"/>
        </w:rPr>
        <w:t>статті 268 ПКУ</w:t>
      </w:r>
      <w:r w:rsidRPr="00FF1F97">
        <w:rPr>
          <w:rFonts w:ascii="Century" w:hAnsi="Century"/>
        </w:rPr>
        <w:t>.</w:t>
      </w:r>
    </w:p>
    <w:p w14:paraId="288918C0" w14:textId="77777777" w:rsidR="003C4AB4" w:rsidRPr="00FF1F97" w:rsidRDefault="003C4AB4" w:rsidP="008A525F">
      <w:pPr>
        <w:pStyle w:val="rvps2"/>
        <w:shd w:val="clear" w:color="auto" w:fill="FFFFFF"/>
        <w:spacing w:before="0" w:beforeAutospacing="0" w:after="0" w:afterAutospacing="0"/>
        <w:ind w:firstLine="450"/>
        <w:jc w:val="both"/>
        <w:rPr>
          <w:rFonts w:ascii="Century" w:hAnsi="Century"/>
        </w:rPr>
      </w:pPr>
    </w:p>
    <w:p w14:paraId="2E873E6A" w14:textId="77777777" w:rsidR="003C4AB4" w:rsidRPr="00FF1F97" w:rsidRDefault="003C4AB4" w:rsidP="008A525F">
      <w:pPr>
        <w:pStyle w:val="rvps2"/>
        <w:shd w:val="clear" w:color="auto" w:fill="FFFFFF"/>
        <w:spacing w:before="0" w:beforeAutospacing="0" w:after="0" w:afterAutospacing="0"/>
        <w:ind w:firstLine="450"/>
        <w:jc w:val="center"/>
        <w:rPr>
          <w:rFonts w:ascii="Century" w:hAnsi="Century"/>
          <w:b/>
        </w:rPr>
      </w:pPr>
      <w:bookmarkStart w:id="53" w:name="n15379"/>
      <w:bookmarkStart w:id="54" w:name="n11900"/>
      <w:bookmarkEnd w:id="53"/>
      <w:bookmarkEnd w:id="54"/>
      <w:r w:rsidRPr="00FF1F97">
        <w:rPr>
          <w:rFonts w:ascii="Century" w:hAnsi="Century"/>
          <w:b/>
        </w:rPr>
        <w:t>5. Податкові агенти та місця проживання (ночівлі)</w:t>
      </w:r>
    </w:p>
    <w:p w14:paraId="157238FC"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55" w:name="n11901"/>
      <w:bookmarkEnd w:id="55"/>
      <w:r w:rsidRPr="00FF1F97">
        <w:rPr>
          <w:rFonts w:ascii="Century" w:hAnsi="Century"/>
        </w:rPr>
        <w:t>5.1. Згідно з рішенням Городоцької міської ради справляння збору може здійснюватися з тимчасового розміщення у таких місцях проживання (ночівлі):</w:t>
      </w:r>
    </w:p>
    <w:p w14:paraId="5A00D22B"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56" w:name="n11902"/>
      <w:bookmarkEnd w:id="56"/>
      <w:r w:rsidRPr="00FF1F97">
        <w:rPr>
          <w:rFonts w:ascii="Century" w:hAnsi="Century"/>
        </w:rPr>
        <w:t xml:space="preserve">а) готелі, кемпінги, мотелі, гуртожитки для приїжджих, </w:t>
      </w:r>
      <w:proofErr w:type="spellStart"/>
      <w:r w:rsidRPr="00FF1F97">
        <w:rPr>
          <w:rFonts w:ascii="Century" w:hAnsi="Century"/>
        </w:rPr>
        <w:t>хостели</w:t>
      </w:r>
      <w:proofErr w:type="spellEnd"/>
      <w:r w:rsidRPr="00FF1F97">
        <w:rPr>
          <w:rFonts w:ascii="Century" w:hAnsi="Century"/>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14:paraId="6C8BA56B"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57" w:name="n11903"/>
      <w:bookmarkEnd w:id="57"/>
      <w:r w:rsidRPr="00FF1F97">
        <w:rPr>
          <w:rFonts w:ascii="Century" w:hAnsi="Century"/>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4455E5FE"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58" w:name="n15381"/>
      <w:bookmarkEnd w:id="58"/>
      <w:r w:rsidRPr="00FF1F97">
        <w:rPr>
          <w:rFonts w:ascii="Century" w:hAnsi="Century"/>
        </w:rPr>
        <w:t>5.2. Згідно з рішенням Городоцької міської ради справляння збору може здійснюватися такими податковими агентами:</w:t>
      </w:r>
    </w:p>
    <w:p w14:paraId="2E651F4F" w14:textId="77777777" w:rsidR="00C9094F" w:rsidRPr="00FF1F97" w:rsidRDefault="003C4AB4" w:rsidP="008A525F">
      <w:pPr>
        <w:pStyle w:val="rvps2"/>
        <w:shd w:val="clear" w:color="auto" w:fill="FFFFFF"/>
        <w:spacing w:before="0" w:beforeAutospacing="0" w:after="0" w:afterAutospacing="0"/>
        <w:ind w:firstLine="851"/>
        <w:jc w:val="both"/>
        <w:rPr>
          <w:rFonts w:ascii="Century" w:hAnsi="Century"/>
        </w:rPr>
      </w:pPr>
      <w:bookmarkStart w:id="59" w:name="n15382"/>
      <w:bookmarkEnd w:id="59"/>
      <w:r w:rsidRPr="00FF1F97">
        <w:rPr>
          <w:rFonts w:ascii="Century" w:hAnsi="Century"/>
        </w:rPr>
        <w:t xml:space="preserve">а) </w:t>
      </w:r>
      <w:bookmarkStart w:id="60" w:name="n15384"/>
      <w:bookmarkEnd w:id="60"/>
      <w:r w:rsidR="00C9094F" w:rsidRPr="00FF1F97">
        <w:rPr>
          <w:rFonts w:ascii="Century" w:hAnsi="Century"/>
        </w:rPr>
        <w:t>юридичними особами, філіями, відділеннями, іншими відокремленими підрозділами юридичних осіб згідно з </w:t>
      </w:r>
      <w:hyperlink r:id="rId18" w:anchor="n11909" w:history="1">
        <w:r w:rsidR="00C9094F" w:rsidRPr="00FF1F97">
          <w:rPr>
            <w:rStyle w:val="a8"/>
            <w:rFonts w:ascii="Century" w:hAnsi="Century"/>
            <w:color w:val="auto"/>
            <w:u w:val="none"/>
          </w:rPr>
          <w:t>підпунктом 268.7.2</w:t>
        </w:r>
      </w:hyperlink>
      <w:r w:rsidR="00C9094F" w:rsidRPr="00FF1F97">
        <w:rPr>
          <w:rFonts w:ascii="Century" w:hAnsi="Century"/>
        </w:rPr>
        <w:t> пункту 268.7 статті 268 ПКУ, фізичними особами - підприємцями, які надають послуги з тимчасового розміщення осіб у місцях проживання (ночівлі), визначених підпунктом 268.5.1 статті 268 ПКУ;</w:t>
      </w:r>
    </w:p>
    <w:p w14:paraId="786EF1F6" w14:textId="77777777" w:rsidR="00C9094F" w:rsidRPr="00FF1F97" w:rsidRDefault="00C9094F" w:rsidP="008A525F">
      <w:pPr>
        <w:pStyle w:val="rvps2"/>
        <w:shd w:val="clear" w:color="auto" w:fill="FFFFFF"/>
        <w:spacing w:before="0" w:beforeAutospacing="0" w:after="0" w:afterAutospacing="0"/>
        <w:ind w:firstLine="851"/>
        <w:jc w:val="both"/>
        <w:rPr>
          <w:rFonts w:ascii="Century" w:hAnsi="Century"/>
        </w:rPr>
      </w:pPr>
      <w:bookmarkStart w:id="61" w:name="n15383"/>
      <w:bookmarkEnd w:id="61"/>
      <w:r w:rsidRPr="00FF1F97">
        <w:rPr>
          <w:rFonts w:ascii="Century" w:hAnsi="Century"/>
        </w:rPr>
        <w:t xml:space="preserve">б) </w:t>
      </w:r>
      <w:proofErr w:type="spellStart"/>
      <w:r w:rsidRPr="00FF1F97">
        <w:rPr>
          <w:rFonts w:ascii="Century" w:hAnsi="Century"/>
        </w:rPr>
        <w:t>квартирно</w:t>
      </w:r>
      <w:proofErr w:type="spellEnd"/>
      <w:r w:rsidRPr="00FF1F97">
        <w:rPr>
          <w:rFonts w:ascii="Century" w:hAnsi="Century"/>
        </w:rPr>
        <w:t>-посередницькими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268.5.1 пункту 268.5 статті 268 ПКУ, що належать фізичним особам на праві власності або на праві користування за договором найму;</w:t>
      </w:r>
    </w:p>
    <w:p w14:paraId="53456985" w14:textId="77777777" w:rsidR="00C9094F" w:rsidRPr="00FF1F97" w:rsidRDefault="00C9094F" w:rsidP="008A525F">
      <w:pPr>
        <w:pStyle w:val="rvps2"/>
        <w:shd w:val="clear" w:color="auto" w:fill="FFFFFF"/>
        <w:spacing w:before="0" w:beforeAutospacing="0" w:after="0" w:afterAutospacing="0"/>
        <w:ind w:firstLine="851"/>
        <w:jc w:val="both"/>
        <w:rPr>
          <w:rFonts w:ascii="Century" w:hAnsi="Century"/>
        </w:rPr>
      </w:pPr>
      <w:r w:rsidRPr="00FF1F97">
        <w:rPr>
          <w:rFonts w:ascii="Century" w:hAnsi="Century"/>
        </w:rPr>
        <w:t xml:space="preserve">в) юридичними особами, які уповноважуються </w:t>
      </w:r>
      <w:r w:rsidR="002E3923" w:rsidRPr="00FF1F97">
        <w:rPr>
          <w:rFonts w:ascii="Century" w:hAnsi="Century"/>
        </w:rPr>
        <w:t>Городоцькою</w:t>
      </w:r>
      <w:r w:rsidRPr="00FF1F97">
        <w:rPr>
          <w:rFonts w:ascii="Century" w:hAnsi="Century"/>
        </w:rPr>
        <w:t xml:space="preserve"> міською радою, справляти збір на умовах договору, укладеного з відповідною радою.</w:t>
      </w:r>
    </w:p>
    <w:p w14:paraId="28EDF699" w14:textId="77777777" w:rsidR="003C4AB4" w:rsidRPr="00FF1F97" w:rsidRDefault="00C9094F" w:rsidP="008A525F">
      <w:pPr>
        <w:pStyle w:val="rvps2"/>
        <w:shd w:val="clear" w:color="auto" w:fill="FFFFFF"/>
        <w:spacing w:before="0" w:beforeAutospacing="0" w:after="0" w:afterAutospacing="0"/>
        <w:ind w:firstLine="851"/>
        <w:jc w:val="both"/>
        <w:rPr>
          <w:rFonts w:ascii="Century" w:hAnsi="Century"/>
        </w:rPr>
      </w:pPr>
      <w:r w:rsidRPr="00FF1F97">
        <w:rPr>
          <w:rFonts w:ascii="Century" w:hAnsi="Century"/>
        </w:rPr>
        <w:t xml:space="preserve">Перелік податкових агентів та інформація про них розміщуються та оприлюднюються на офіційному веб-сайті </w:t>
      </w:r>
      <w:r w:rsidR="003C4AB4" w:rsidRPr="00FF1F97">
        <w:rPr>
          <w:rFonts w:ascii="Century" w:hAnsi="Century"/>
        </w:rPr>
        <w:t>Городоцької міської ради.</w:t>
      </w:r>
    </w:p>
    <w:p w14:paraId="4C1A18E8" w14:textId="74A5C46B" w:rsidR="003C4AB4" w:rsidRPr="00FF1F97" w:rsidRDefault="003C4AB4" w:rsidP="008A525F">
      <w:pPr>
        <w:pStyle w:val="rvps2"/>
        <w:shd w:val="clear" w:color="auto" w:fill="FFFFFF"/>
        <w:spacing w:before="0" w:beforeAutospacing="0" w:after="0" w:afterAutospacing="0"/>
        <w:ind w:firstLine="450"/>
        <w:jc w:val="center"/>
        <w:rPr>
          <w:rFonts w:ascii="Century" w:hAnsi="Century"/>
          <w:b/>
        </w:rPr>
      </w:pPr>
      <w:bookmarkStart w:id="62" w:name="n12944"/>
      <w:bookmarkStart w:id="63" w:name="n11905"/>
      <w:bookmarkEnd w:id="62"/>
      <w:bookmarkEnd w:id="63"/>
      <w:r w:rsidRPr="00FF1F97">
        <w:rPr>
          <w:rFonts w:ascii="Century" w:hAnsi="Century"/>
          <w:b/>
        </w:rPr>
        <w:t>6. Особливості справляння збору</w:t>
      </w:r>
    </w:p>
    <w:p w14:paraId="203A6782"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64" w:name="n11906"/>
      <w:bookmarkEnd w:id="64"/>
      <w:r w:rsidRPr="00FF1F97">
        <w:rPr>
          <w:rFonts w:ascii="Century" w:hAnsi="Century"/>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Городоцької міської ради.</w:t>
      </w:r>
    </w:p>
    <w:p w14:paraId="7BA196ED"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65" w:name="n15387"/>
      <w:bookmarkEnd w:id="65"/>
      <w:r w:rsidRPr="00FF1F97">
        <w:rPr>
          <w:rFonts w:ascii="Century" w:hAnsi="Century"/>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012804DA"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66" w:name="n15388"/>
      <w:bookmarkEnd w:id="66"/>
      <w:r w:rsidRPr="00FF1F97">
        <w:rPr>
          <w:rFonts w:ascii="Century" w:hAnsi="Century"/>
        </w:rPr>
        <w:t xml:space="preserve">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w:t>
      </w:r>
      <w:r w:rsidRPr="00FF1F97">
        <w:rPr>
          <w:rFonts w:ascii="Century" w:hAnsi="Century"/>
        </w:rPr>
        <w:lastRenderedPageBreak/>
        <w:t>сплату ним туристичного збору відповідно до Податкового Кодексу України та рішення Городоцької міської ради.</w:t>
      </w:r>
    </w:p>
    <w:p w14:paraId="774ED152"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67" w:name="n15389"/>
      <w:bookmarkEnd w:id="67"/>
      <w:r w:rsidRPr="00FF1F97">
        <w:rPr>
          <w:rFonts w:ascii="Century" w:hAnsi="Century"/>
        </w:rPr>
        <w:t xml:space="preserve">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w:t>
      </w:r>
      <w:r w:rsidR="003101F7" w:rsidRPr="00FF1F97">
        <w:rPr>
          <w:rFonts w:ascii="Century" w:hAnsi="Century"/>
        </w:rPr>
        <w:t>порядку</w:t>
      </w:r>
      <w:r w:rsidRPr="00FF1F97">
        <w:rPr>
          <w:rFonts w:ascii="Century" w:hAnsi="Century"/>
        </w:rPr>
        <w:t>.</w:t>
      </w:r>
    </w:p>
    <w:p w14:paraId="25C1247D" w14:textId="77777777" w:rsidR="003C4AB4" w:rsidRPr="00FF1F97" w:rsidRDefault="003C4AB4" w:rsidP="008A525F">
      <w:pPr>
        <w:pStyle w:val="rvps2"/>
        <w:shd w:val="clear" w:color="auto" w:fill="FFFFFF"/>
        <w:spacing w:before="0" w:beforeAutospacing="0" w:after="0" w:afterAutospacing="0"/>
        <w:ind w:firstLine="450"/>
        <w:jc w:val="both"/>
        <w:rPr>
          <w:rFonts w:ascii="Century" w:hAnsi="Century"/>
        </w:rPr>
      </w:pPr>
    </w:p>
    <w:p w14:paraId="7DA18B6D" w14:textId="77777777" w:rsidR="003C4AB4" w:rsidRPr="00FF1F97" w:rsidRDefault="003C4AB4" w:rsidP="008A525F">
      <w:pPr>
        <w:pStyle w:val="rvps2"/>
        <w:shd w:val="clear" w:color="auto" w:fill="FFFFFF"/>
        <w:spacing w:before="0" w:beforeAutospacing="0" w:after="0" w:afterAutospacing="0"/>
        <w:ind w:firstLine="450"/>
        <w:jc w:val="center"/>
        <w:rPr>
          <w:rFonts w:ascii="Century" w:hAnsi="Century"/>
          <w:b/>
        </w:rPr>
      </w:pPr>
      <w:bookmarkStart w:id="68" w:name="n15386"/>
      <w:bookmarkStart w:id="69" w:name="n11907"/>
      <w:bookmarkEnd w:id="68"/>
      <w:bookmarkEnd w:id="69"/>
      <w:r w:rsidRPr="00FF1F97">
        <w:rPr>
          <w:rFonts w:ascii="Century" w:hAnsi="Century"/>
          <w:b/>
        </w:rPr>
        <w:t>7. Порядок сплати збору</w:t>
      </w:r>
    </w:p>
    <w:p w14:paraId="396EC165"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70" w:name="n11908"/>
      <w:bookmarkEnd w:id="70"/>
      <w:r w:rsidRPr="00FF1F97">
        <w:rPr>
          <w:rFonts w:ascii="Century" w:hAnsi="Century"/>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Городоцької міської ради.</w:t>
      </w:r>
    </w:p>
    <w:p w14:paraId="68FE0FA3"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71" w:name="n15391"/>
      <w:bookmarkEnd w:id="71"/>
      <w:r w:rsidRPr="00FF1F97">
        <w:rPr>
          <w:rFonts w:ascii="Century" w:hAnsi="Century"/>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14:paraId="75AAD925"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72" w:name="n15390"/>
      <w:bookmarkStart w:id="73" w:name="n11909"/>
      <w:bookmarkEnd w:id="72"/>
      <w:bookmarkEnd w:id="73"/>
      <w:r w:rsidRPr="00FF1F97">
        <w:rPr>
          <w:rFonts w:ascii="Century" w:hAnsi="Century"/>
        </w:rPr>
        <w:t xml:space="preserve">7.2.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w:t>
      </w:r>
      <w:proofErr w:type="spellStart"/>
      <w:r w:rsidRPr="00FF1F97">
        <w:rPr>
          <w:rFonts w:ascii="Century" w:hAnsi="Century"/>
        </w:rPr>
        <w:t>агента</w:t>
      </w:r>
      <w:proofErr w:type="spellEnd"/>
      <w:r w:rsidRPr="00FF1F97">
        <w:rPr>
          <w:rFonts w:ascii="Century" w:hAnsi="Century"/>
        </w:rPr>
        <w:t xml:space="preserve">, зобов’язаний зареєструвати такий підрозділ як податкового </w:t>
      </w:r>
      <w:proofErr w:type="spellStart"/>
      <w:r w:rsidRPr="00FF1F97">
        <w:rPr>
          <w:rFonts w:ascii="Century" w:hAnsi="Century"/>
        </w:rPr>
        <w:t>агента</w:t>
      </w:r>
      <w:proofErr w:type="spellEnd"/>
      <w:r w:rsidRPr="00FF1F97">
        <w:rPr>
          <w:rFonts w:ascii="Century" w:hAnsi="Century"/>
        </w:rPr>
        <w:t xml:space="preserve"> туристичного збору у контролюючому органі за місцезнаходженням підрозділу.</w:t>
      </w:r>
    </w:p>
    <w:p w14:paraId="36596717"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74" w:name="n15392"/>
      <w:bookmarkStart w:id="75" w:name="n11910"/>
      <w:bookmarkEnd w:id="74"/>
      <w:bookmarkEnd w:id="75"/>
      <w:r w:rsidRPr="00FF1F97">
        <w:rPr>
          <w:rFonts w:ascii="Century" w:hAnsi="Century"/>
        </w:rPr>
        <w:t>7.3. Базовий податковий (звітний) період дорівнює календарному кварталу.</w:t>
      </w:r>
    </w:p>
    <w:p w14:paraId="1ED4A092" w14:textId="77777777" w:rsidR="001F711E" w:rsidRPr="00FF1F97" w:rsidRDefault="001F711E" w:rsidP="008A525F">
      <w:pPr>
        <w:pStyle w:val="rvps2"/>
        <w:shd w:val="clear" w:color="auto" w:fill="FFFFFF"/>
        <w:spacing w:before="0" w:beforeAutospacing="0" w:after="0" w:afterAutospacing="0"/>
        <w:ind w:firstLine="450"/>
        <w:jc w:val="both"/>
        <w:rPr>
          <w:rStyle w:val="rvts46"/>
          <w:rFonts w:ascii="Century" w:hAnsi="Century"/>
          <w:b/>
          <w:iCs/>
        </w:rPr>
      </w:pPr>
      <w:bookmarkStart w:id="76" w:name="n11882"/>
      <w:bookmarkStart w:id="77" w:name="n11912"/>
      <w:bookmarkEnd w:id="76"/>
      <w:bookmarkEnd w:id="77"/>
    </w:p>
    <w:p w14:paraId="5E20B1E4" w14:textId="77777777" w:rsidR="001F711E" w:rsidRPr="00FF1F97" w:rsidRDefault="001F711E" w:rsidP="008A525F">
      <w:pPr>
        <w:pStyle w:val="rvps2"/>
        <w:shd w:val="clear" w:color="auto" w:fill="FFFFFF"/>
        <w:spacing w:before="0" w:beforeAutospacing="0" w:after="0" w:afterAutospacing="0"/>
        <w:ind w:firstLine="450"/>
        <w:jc w:val="both"/>
        <w:rPr>
          <w:rStyle w:val="rvts46"/>
          <w:rFonts w:ascii="Century" w:hAnsi="Century"/>
          <w:b/>
          <w:iCs/>
        </w:rPr>
      </w:pPr>
    </w:p>
    <w:p w14:paraId="27556227" w14:textId="77777777" w:rsidR="004E6E86" w:rsidRPr="00FF1F97" w:rsidRDefault="004E6E86" w:rsidP="008A525F">
      <w:pPr>
        <w:pStyle w:val="rvps2"/>
        <w:shd w:val="clear" w:color="auto" w:fill="FFFFFF"/>
        <w:spacing w:before="0" w:beforeAutospacing="0" w:after="0" w:afterAutospacing="0"/>
        <w:ind w:firstLine="450"/>
        <w:jc w:val="both"/>
        <w:rPr>
          <w:rStyle w:val="rvts46"/>
          <w:rFonts w:ascii="Century" w:hAnsi="Century"/>
          <w:b/>
          <w:iCs/>
        </w:rPr>
      </w:pPr>
      <w:r w:rsidRPr="00FF1F97">
        <w:rPr>
          <w:rStyle w:val="rvts46"/>
          <w:rFonts w:ascii="Century" w:hAnsi="Century"/>
          <w:b/>
          <w:iCs/>
        </w:rPr>
        <w:t xml:space="preserve">Секретар ради                        </w:t>
      </w:r>
      <w:r w:rsidR="00BE1919" w:rsidRPr="00FF1F97">
        <w:rPr>
          <w:rStyle w:val="rvts46"/>
          <w:rFonts w:ascii="Century" w:hAnsi="Century"/>
          <w:b/>
          <w:iCs/>
        </w:rPr>
        <w:t xml:space="preserve">                                     </w:t>
      </w:r>
      <w:r w:rsidRPr="00FF1F97">
        <w:rPr>
          <w:rStyle w:val="rvts46"/>
          <w:rFonts w:ascii="Century" w:hAnsi="Century"/>
          <w:b/>
          <w:iCs/>
        </w:rPr>
        <w:t xml:space="preserve">   </w:t>
      </w:r>
      <w:r w:rsidR="00BE1919" w:rsidRPr="00FF1F97">
        <w:rPr>
          <w:rStyle w:val="rvts46"/>
          <w:rFonts w:ascii="Century" w:hAnsi="Century"/>
          <w:b/>
          <w:iCs/>
        </w:rPr>
        <w:t>Микола ЛУПІЙ</w:t>
      </w:r>
    </w:p>
    <w:p w14:paraId="11A34258" w14:textId="77777777" w:rsidR="008A525F" w:rsidRPr="00FF1F97" w:rsidRDefault="008A525F" w:rsidP="008A525F">
      <w:pPr>
        <w:pStyle w:val="rvps2"/>
        <w:shd w:val="clear" w:color="auto" w:fill="FFFFFF"/>
        <w:spacing w:before="0" w:beforeAutospacing="0" w:after="0" w:afterAutospacing="0"/>
        <w:ind w:left="5245"/>
        <w:rPr>
          <w:rStyle w:val="rvts9"/>
          <w:rFonts w:ascii="Century" w:hAnsi="Century"/>
          <w:b/>
        </w:rPr>
      </w:pPr>
      <w:r w:rsidRPr="00FF1F97">
        <w:rPr>
          <w:rStyle w:val="rvts9"/>
          <w:rFonts w:ascii="Century" w:hAnsi="Century"/>
          <w:b/>
        </w:rPr>
        <w:br w:type="page"/>
      </w:r>
      <w:r w:rsidRPr="00FF1F97">
        <w:rPr>
          <w:rStyle w:val="rvts9"/>
          <w:rFonts w:ascii="Century" w:hAnsi="Century"/>
          <w:b/>
        </w:rPr>
        <w:lastRenderedPageBreak/>
        <w:t>Додаток 3</w:t>
      </w:r>
    </w:p>
    <w:p w14:paraId="3F34EB15" w14:textId="77777777" w:rsidR="008A525F" w:rsidRPr="00FF1F97" w:rsidRDefault="008A525F" w:rsidP="008A525F">
      <w:pPr>
        <w:pStyle w:val="rvps2"/>
        <w:shd w:val="clear" w:color="auto" w:fill="FFFFFF"/>
        <w:spacing w:before="0" w:beforeAutospacing="0" w:after="0" w:afterAutospacing="0"/>
        <w:ind w:left="5245"/>
        <w:rPr>
          <w:rStyle w:val="rvts9"/>
          <w:rFonts w:ascii="Century" w:hAnsi="Century"/>
          <w:bCs/>
        </w:rPr>
      </w:pPr>
      <w:r w:rsidRPr="00FF1F97">
        <w:rPr>
          <w:rStyle w:val="rvts9"/>
          <w:rFonts w:ascii="Century" w:hAnsi="Century"/>
          <w:bCs/>
        </w:rPr>
        <w:t>До рішення сесії Городоцької міської ради Львівської області</w:t>
      </w:r>
    </w:p>
    <w:p w14:paraId="6C2B588C" w14:textId="5F0F7A31" w:rsidR="008A525F" w:rsidRPr="00FF1F97" w:rsidRDefault="008A525F" w:rsidP="008A525F">
      <w:pPr>
        <w:pStyle w:val="rvps2"/>
        <w:shd w:val="clear" w:color="auto" w:fill="FFFFFF"/>
        <w:spacing w:before="0" w:beforeAutospacing="0" w:after="0" w:afterAutospacing="0"/>
        <w:ind w:left="5245"/>
        <w:rPr>
          <w:rStyle w:val="rvts9"/>
          <w:rFonts w:ascii="Century" w:hAnsi="Century"/>
          <w:bCs/>
        </w:rPr>
      </w:pPr>
      <w:r w:rsidRPr="00FF1F97">
        <w:rPr>
          <w:rStyle w:val="rvts9"/>
          <w:rFonts w:ascii="Century" w:hAnsi="Century"/>
          <w:bCs/>
        </w:rPr>
        <w:t xml:space="preserve">24.06.2021 № </w:t>
      </w:r>
      <w:r w:rsidR="00946FBB" w:rsidRPr="00FF1F97">
        <w:rPr>
          <w:rStyle w:val="rvts9"/>
          <w:rFonts w:ascii="Century" w:hAnsi="Century"/>
          <w:bCs/>
        </w:rPr>
        <w:t>1632</w:t>
      </w:r>
    </w:p>
    <w:p w14:paraId="55F0DD7B" w14:textId="77777777" w:rsidR="003C4AB4" w:rsidRPr="00FF1F97" w:rsidRDefault="003C4AB4" w:rsidP="008A525F">
      <w:pPr>
        <w:pStyle w:val="rvps2"/>
        <w:shd w:val="clear" w:color="auto" w:fill="FFFFFF"/>
        <w:spacing w:before="0" w:beforeAutospacing="0" w:after="0" w:afterAutospacing="0"/>
        <w:ind w:firstLine="450"/>
        <w:jc w:val="right"/>
        <w:rPr>
          <w:rStyle w:val="rvts9"/>
          <w:rFonts w:ascii="Century" w:hAnsi="Century"/>
          <w:bCs/>
        </w:rPr>
      </w:pPr>
    </w:p>
    <w:p w14:paraId="146DA3CF" w14:textId="77777777" w:rsidR="003C4AB4" w:rsidRPr="00FF1F97" w:rsidRDefault="003C4AB4" w:rsidP="008A525F">
      <w:pPr>
        <w:pStyle w:val="rvps2"/>
        <w:shd w:val="clear" w:color="auto" w:fill="FFFFFF"/>
        <w:spacing w:before="0" w:beforeAutospacing="0" w:after="0" w:afterAutospacing="0"/>
        <w:ind w:firstLine="450"/>
        <w:jc w:val="center"/>
        <w:rPr>
          <w:rFonts w:ascii="Century" w:hAnsi="Century"/>
          <w:b/>
        </w:rPr>
      </w:pPr>
      <w:r w:rsidRPr="00FF1F97">
        <w:rPr>
          <w:rStyle w:val="rvts9"/>
          <w:rFonts w:ascii="Century" w:hAnsi="Century"/>
          <w:b/>
          <w:bCs/>
        </w:rPr>
        <w:t>Положення про</w:t>
      </w:r>
      <w:r w:rsidRPr="00FF1F97">
        <w:rPr>
          <w:rFonts w:ascii="Century" w:hAnsi="Century"/>
        </w:rPr>
        <w:t xml:space="preserve"> </w:t>
      </w:r>
      <w:r w:rsidRPr="00FF1F97">
        <w:rPr>
          <w:rFonts w:ascii="Century" w:hAnsi="Century"/>
          <w:b/>
        </w:rPr>
        <w:t>збір за місця для паркування транспортних засобів</w:t>
      </w:r>
    </w:p>
    <w:p w14:paraId="4D31F3CC" w14:textId="77777777" w:rsidR="00EA6022" w:rsidRPr="00FF1F97" w:rsidRDefault="00EA6022" w:rsidP="008A525F">
      <w:pPr>
        <w:pStyle w:val="rvps2"/>
        <w:shd w:val="clear" w:color="auto" w:fill="FFFFFF"/>
        <w:spacing w:before="0" w:beforeAutospacing="0" w:after="0" w:afterAutospacing="0"/>
        <w:ind w:firstLine="450"/>
        <w:jc w:val="center"/>
        <w:rPr>
          <w:rStyle w:val="rvts9"/>
          <w:rFonts w:ascii="Century" w:hAnsi="Century"/>
          <w:b/>
          <w:bCs/>
        </w:rPr>
      </w:pPr>
      <w:r w:rsidRPr="00FF1F97">
        <w:rPr>
          <w:rStyle w:val="rvts9"/>
          <w:rFonts w:ascii="Century" w:hAnsi="Century"/>
          <w:b/>
          <w:bCs/>
        </w:rPr>
        <w:t>на території  Городоцької міської ради Львівської області</w:t>
      </w:r>
    </w:p>
    <w:p w14:paraId="1062AA69" w14:textId="77777777" w:rsidR="00EA6022" w:rsidRPr="00FF1F97" w:rsidRDefault="00EA6022" w:rsidP="008A525F">
      <w:pPr>
        <w:pStyle w:val="rvps2"/>
        <w:shd w:val="clear" w:color="auto" w:fill="FFFFFF"/>
        <w:spacing w:before="0" w:beforeAutospacing="0" w:after="0" w:afterAutospacing="0"/>
        <w:ind w:firstLine="450"/>
        <w:jc w:val="center"/>
        <w:rPr>
          <w:rStyle w:val="rvts9"/>
          <w:rFonts w:ascii="Century" w:hAnsi="Century"/>
          <w:b/>
          <w:bCs/>
        </w:rPr>
      </w:pPr>
      <w:r w:rsidRPr="00FF1F97">
        <w:rPr>
          <w:rStyle w:val="rvts9"/>
          <w:rFonts w:ascii="Century" w:hAnsi="Century"/>
          <w:b/>
          <w:bCs/>
        </w:rPr>
        <w:t xml:space="preserve"> з 1 січня 2022 року</w:t>
      </w:r>
    </w:p>
    <w:p w14:paraId="343034B2" w14:textId="77777777" w:rsidR="003C4AB4" w:rsidRPr="00FF1F97" w:rsidRDefault="003C4AB4" w:rsidP="008A525F">
      <w:pPr>
        <w:pStyle w:val="rvps2"/>
        <w:shd w:val="clear" w:color="auto" w:fill="FFFFFF"/>
        <w:spacing w:before="0" w:beforeAutospacing="0" w:after="0" w:afterAutospacing="0"/>
        <w:ind w:firstLine="450"/>
        <w:jc w:val="center"/>
        <w:rPr>
          <w:rFonts w:ascii="Century" w:hAnsi="Century"/>
        </w:rPr>
      </w:pPr>
    </w:p>
    <w:p w14:paraId="38624D22" w14:textId="77777777" w:rsidR="001F711E" w:rsidRPr="00FF1F97" w:rsidRDefault="003C4AB4" w:rsidP="008A525F">
      <w:pPr>
        <w:pStyle w:val="rvps2"/>
        <w:numPr>
          <w:ilvl w:val="0"/>
          <w:numId w:val="2"/>
        </w:numPr>
        <w:shd w:val="clear" w:color="auto" w:fill="FFFFFF"/>
        <w:spacing w:before="0" w:beforeAutospacing="0" w:after="0" w:afterAutospacing="0"/>
        <w:jc w:val="center"/>
        <w:rPr>
          <w:rFonts w:ascii="Century" w:hAnsi="Century"/>
        </w:rPr>
      </w:pPr>
      <w:bookmarkStart w:id="78" w:name="n11913"/>
      <w:bookmarkEnd w:id="78"/>
      <w:r w:rsidRPr="00FF1F97">
        <w:rPr>
          <w:rFonts w:ascii="Century" w:hAnsi="Century"/>
          <w:b/>
        </w:rPr>
        <w:t>Платники збору</w:t>
      </w:r>
      <w:bookmarkStart w:id="79" w:name="n11914"/>
      <w:bookmarkEnd w:id="79"/>
    </w:p>
    <w:p w14:paraId="2E35DB3B" w14:textId="77777777" w:rsidR="003C4AB4" w:rsidRPr="00FF1F97" w:rsidRDefault="003C4AB4" w:rsidP="008A525F">
      <w:pPr>
        <w:pStyle w:val="rvps2"/>
        <w:shd w:val="clear" w:color="auto" w:fill="FFFFFF"/>
        <w:spacing w:before="0" w:beforeAutospacing="0" w:after="0" w:afterAutospacing="0"/>
        <w:ind w:firstLine="851"/>
        <w:jc w:val="both"/>
        <w:rPr>
          <w:rFonts w:ascii="Century" w:hAnsi="Century"/>
        </w:rPr>
      </w:pPr>
      <w:r w:rsidRPr="00FF1F97">
        <w:rPr>
          <w:rFonts w:ascii="Century" w:hAnsi="Century"/>
        </w:rPr>
        <w:t>1.1. Платниками збору є юридичні особи, їх філії (відділення, представництва), фізичні особи - підприємці, які згідно з рішенням Городоцької міської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p>
    <w:p w14:paraId="63284404"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80" w:name="n12945"/>
      <w:bookmarkStart w:id="81" w:name="n11915"/>
      <w:bookmarkEnd w:id="80"/>
      <w:bookmarkEnd w:id="81"/>
      <w:r w:rsidRPr="00FF1F97">
        <w:rPr>
          <w:rFonts w:ascii="Century" w:hAnsi="Century"/>
        </w:rPr>
        <w:t>1.2. Перелік спеціальних земельних ділянок, відведених для організації та провадження діяльності із забезпечення паркування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рішенням Городоцької міської ради про встановлення збору.</w:t>
      </w:r>
    </w:p>
    <w:p w14:paraId="1AC648A3"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82" w:name="n12946"/>
      <w:bookmarkStart w:id="83" w:name="n11916"/>
      <w:bookmarkEnd w:id="82"/>
      <w:bookmarkEnd w:id="83"/>
      <w:r w:rsidRPr="00FF1F97">
        <w:rPr>
          <w:rFonts w:ascii="Century" w:hAnsi="Century"/>
        </w:rPr>
        <w:t xml:space="preserve">Таке рішення разом з переліком осіб, які уповноважені організовувати та провадити діяльність із забезпечення паркування транспортних засобів, надається виконавчим органом Городоцької міської ради контролюючому органу в порядку, встановленому </w:t>
      </w:r>
      <w:hyperlink r:id="rId19" w:anchor="n130" w:history="1">
        <w:r w:rsidRPr="00FF1F97">
          <w:rPr>
            <w:rStyle w:val="a8"/>
            <w:rFonts w:ascii="Century" w:hAnsi="Century"/>
            <w:color w:val="auto"/>
            <w:u w:val="none"/>
          </w:rPr>
          <w:t>розділом I</w:t>
        </w:r>
      </w:hyperlink>
      <w:r w:rsidRPr="00FF1F97">
        <w:rPr>
          <w:rFonts w:ascii="Century" w:hAnsi="Century"/>
        </w:rPr>
        <w:t xml:space="preserve"> Податкового Кодексу України.</w:t>
      </w:r>
    </w:p>
    <w:p w14:paraId="43DD605E"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p>
    <w:p w14:paraId="1EC6D71C" w14:textId="77777777" w:rsidR="003C4AB4" w:rsidRPr="00FF1F97" w:rsidRDefault="003C4AB4" w:rsidP="008A525F">
      <w:pPr>
        <w:pStyle w:val="rvps2"/>
        <w:shd w:val="clear" w:color="auto" w:fill="FFFFFF"/>
        <w:spacing w:before="0" w:beforeAutospacing="0" w:after="0" w:afterAutospacing="0"/>
        <w:ind w:firstLine="900"/>
        <w:jc w:val="center"/>
        <w:rPr>
          <w:rFonts w:ascii="Century" w:hAnsi="Century"/>
          <w:b/>
        </w:rPr>
      </w:pPr>
      <w:bookmarkStart w:id="84" w:name="n12947"/>
      <w:bookmarkStart w:id="85" w:name="n11917"/>
      <w:bookmarkEnd w:id="84"/>
      <w:bookmarkEnd w:id="85"/>
      <w:r w:rsidRPr="00FF1F97">
        <w:rPr>
          <w:rFonts w:ascii="Century" w:hAnsi="Century"/>
          <w:b/>
        </w:rPr>
        <w:t>2. Об’єкт і база оподаткування збором</w:t>
      </w:r>
    </w:p>
    <w:p w14:paraId="4D37024C"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86" w:name="n11918"/>
      <w:bookmarkEnd w:id="86"/>
      <w:r w:rsidRPr="00FF1F97">
        <w:rPr>
          <w:rFonts w:ascii="Century" w:hAnsi="Century"/>
        </w:rPr>
        <w:t>2.1. Об’єктом оподаткування є земельна ділянка, яка згідно з рішенням Городоцької міської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w:t>
      </w:r>
      <w:hyperlink r:id="rId20" w:tgtFrame="_blank" w:history="1">
        <w:r w:rsidRPr="00FF1F97">
          <w:rPr>
            <w:rStyle w:val="a8"/>
            <w:rFonts w:ascii="Century" w:hAnsi="Century"/>
            <w:color w:val="auto"/>
            <w:u w:val="none"/>
          </w:rPr>
          <w:t>статтею 30</w:t>
        </w:r>
      </w:hyperlink>
      <w:r w:rsidRPr="00FF1F97">
        <w:rPr>
          <w:rFonts w:ascii="Century" w:hAnsi="Century"/>
        </w:rPr>
        <w:t> Закону України "Про основи соціальної захищеност</w:t>
      </w:r>
      <w:r w:rsidR="006A29DA" w:rsidRPr="00FF1F97">
        <w:rPr>
          <w:rFonts w:ascii="Century" w:hAnsi="Century"/>
        </w:rPr>
        <w:t>і осіб з інвалідністю в Україні</w:t>
      </w:r>
      <w:r w:rsidRPr="00FF1F97">
        <w:rPr>
          <w:rFonts w:ascii="Century" w:hAnsi="Century"/>
        </w:rPr>
        <w:t>.</w:t>
      </w:r>
    </w:p>
    <w:p w14:paraId="525FEF21" w14:textId="77777777" w:rsidR="003C4AB4" w:rsidRPr="00FF1F97" w:rsidRDefault="003C4AB4" w:rsidP="008A525F">
      <w:pPr>
        <w:pStyle w:val="rvps2"/>
        <w:shd w:val="clear" w:color="auto" w:fill="FFFFFF"/>
        <w:spacing w:before="0" w:beforeAutospacing="0" w:after="0" w:afterAutospacing="0"/>
        <w:ind w:firstLine="900"/>
        <w:jc w:val="both"/>
        <w:rPr>
          <w:rFonts w:ascii="Century" w:hAnsi="Century"/>
        </w:rPr>
      </w:pPr>
      <w:bookmarkStart w:id="87" w:name="n12948"/>
      <w:bookmarkStart w:id="88" w:name="n11919"/>
      <w:bookmarkEnd w:id="87"/>
      <w:bookmarkEnd w:id="88"/>
      <w:r w:rsidRPr="00FF1F97">
        <w:rPr>
          <w:rFonts w:ascii="Century" w:hAnsi="Century"/>
        </w:rPr>
        <w:t>2.2. 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w:t>
      </w:r>
    </w:p>
    <w:p w14:paraId="4565B6CE" w14:textId="77777777" w:rsidR="00C74560" w:rsidRPr="00FF1F97" w:rsidRDefault="00C74560" w:rsidP="008A525F">
      <w:pPr>
        <w:pStyle w:val="rvps2"/>
        <w:shd w:val="clear" w:color="auto" w:fill="FFFFFF"/>
        <w:spacing w:before="0" w:beforeAutospacing="0" w:after="0" w:afterAutospacing="0"/>
        <w:ind w:firstLine="450"/>
        <w:jc w:val="center"/>
        <w:rPr>
          <w:rFonts w:ascii="Century" w:hAnsi="Century"/>
          <w:b/>
        </w:rPr>
      </w:pPr>
      <w:bookmarkStart w:id="89" w:name="n11920"/>
      <w:bookmarkEnd w:id="89"/>
    </w:p>
    <w:p w14:paraId="6A22D34D" w14:textId="77777777" w:rsidR="003C4AB4" w:rsidRPr="00FF1F97" w:rsidRDefault="003C4AB4" w:rsidP="008A525F">
      <w:pPr>
        <w:pStyle w:val="rvps2"/>
        <w:shd w:val="clear" w:color="auto" w:fill="FFFFFF"/>
        <w:spacing w:before="0" w:beforeAutospacing="0" w:after="0" w:afterAutospacing="0"/>
        <w:ind w:firstLine="450"/>
        <w:jc w:val="center"/>
        <w:rPr>
          <w:rFonts w:ascii="Century" w:hAnsi="Century"/>
          <w:b/>
        </w:rPr>
      </w:pPr>
      <w:r w:rsidRPr="00FF1F97">
        <w:rPr>
          <w:rFonts w:ascii="Century" w:hAnsi="Century"/>
          <w:b/>
        </w:rPr>
        <w:t>3. Ставки збору</w:t>
      </w:r>
    </w:p>
    <w:p w14:paraId="55112257" w14:textId="77777777" w:rsidR="003C4AB4" w:rsidRPr="00FF1F97" w:rsidRDefault="003C4AB4" w:rsidP="008A525F">
      <w:pPr>
        <w:pStyle w:val="rvps2"/>
        <w:shd w:val="clear" w:color="auto" w:fill="FFFFFF"/>
        <w:spacing w:before="0" w:beforeAutospacing="0" w:after="0" w:afterAutospacing="0"/>
        <w:ind w:firstLine="851"/>
        <w:jc w:val="both"/>
        <w:rPr>
          <w:rFonts w:ascii="Century" w:hAnsi="Century"/>
        </w:rPr>
      </w:pPr>
      <w:bookmarkStart w:id="90" w:name="n11921"/>
      <w:bookmarkEnd w:id="90"/>
      <w:r w:rsidRPr="00FF1F97">
        <w:rPr>
          <w:rFonts w:ascii="Century" w:hAnsi="Century"/>
        </w:rPr>
        <w:t xml:space="preserve">3.1. Ставки збору встановлюються за кожний день провадження діяльності із забезпечення паркування транспортних засобів у гривнях за 1 </w:t>
      </w:r>
      <w:proofErr w:type="spellStart"/>
      <w:r w:rsidRPr="00FF1F97">
        <w:rPr>
          <w:rFonts w:ascii="Century" w:hAnsi="Century"/>
        </w:rPr>
        <w:t>кв</w:t>
      </w:r>
      <w:proofErr w:type="spellEnd"/>
      <w:r w:rsidRPr="00FF1F97">
        <w:rPr>
          <w:rFonts w:ascii="Century" w:hAnsi="Century"/>
        </w:rPr>
        <w:t>. метр площі земельної ділянки, відведеної для організації та провадження такої діяльності, у розмірі до 0,</w:t>
      </w:r>
      <w:r w:rsidR="00307525" w:rsidRPr="00FF1F97">
        <w:rPr>
          <w:rFonts w:ascii="Century" w:hAnsi="Century"/>
        </w:rPr>
        <w:t>075</w:t>
      </w:r>
      <w:r w:rsidRPr="00FF1F97">
        <w:rPr>
          <w:rFonts w:ascii="Century" w:hAnsi="Century"/>
        </w:rPr>
        <w:t xml:space="preserve"> відсотка мінімальної заробітної плати, установленої законом на 1 січня податкового (звітного) року.</w:t>
      </w:r>
    </w:p>
    <w:p w14:paraId="0D5F36A1" w14:textId="77777777" w:rsidR="003C4AB4" w:rsidRPr="00FF1F97" w:rsidRDefault="003C4AB4" w:rsidP="008A525F">
      <w:pPr>
        <w:pStyle w:val="rvps2"/>
        <w:shd w:val="clear" w:color="auto" w:fill="FFFFFF"/>
        <w:spacing w:before="0" w:beforeAutospacing="0" w:after="0" w:afterAutospacing="0"/>
        <w:ind w:firstLine="851"/>
        <w:jc w:val="both"/>
        <w:rPr>
          <w:rFonts w:ascii="Century" w:hAnsi="Century"/>
        </w:rPr>
      </w:pPr>
      <w:bookmarkStart w:id="91" w:name="n13370"/>
      <w:bookmarkStart w:id="92" w:name="n11922"/>
      <w:bookmarkEnd w:id="91"/>
      <w:bookmarkEnd w:id="92"/>
      <w:r w:rsidRPr="00FF1F97">
        <w:rPr>
          <w:rFonts w:ascii="Century" w:hAnsi="Century"/>
        </w:rPr>
        <w:t>3.2. При визначенні ставки збору Городоцька міська рада враховує місцезнаходження спеціально відведених місць для паркування транспортних засобів, площу спеціально відведеного місця, кількість місць для паркування транспортних засобів, спосіб поставлення транспортних засобів на стоянку, режим роботи та їх заповнюваність.</w:t>
      </w:r>
      <w:bookmarkStart w:id="93" w:name="n12949"/>
      <w:bookmarkEnd w:id="93"/>
    </w:p>
    <w:p w14:paraId="18BF7BDB" w14:textId="77777777" w:rsidR="003C4AB4" w:rsidRPr="00FF1F97" w:rsidRDefault="003C4AB4" w:rsidP="008A525F">
      <w:pPr>
        <w:pStyle w:val="rvps2"/>
        <w:shd w:val="clear" w:color="auto" w:fill="FFFFFF"/>
        <w:spacing w:before="0" w:beforeAutospacing="0" w:after="0" w:afterAutospacing="0"/>
        <w:ind w:firstLine="450"/>
        <w:jc w:val="both"/>
        <w:rPr>
          <w:rFonts w:ascii="Century" w:hAnsi="Century"/>
        </w:rPr>
      </w:pPr>
    </w:p>
    <w:p w14:paraId="04FF5156" w14:textId="77777777" w:rsidR="003C4AB4" w:rsidRPr="00FF1F97" w:rsidRDefault="003C4AB4" w:rsidP="008A525F">
      <w:pPr>
        <w:pStyle w:val="rvps2"/>
        <w:shd w:val="clear" w:color="auto" w:fill="FFFFFF"/>
        <w:spacing w:before="0" w:beforeAutospacing="0" w:after="0" w:afterAutospacing="0"/>
        <w:ind w:firstLine="450"/>
        <w:jc w:val="center"/>
        <w:rPr>
          <w:rFonts w:ascii="Century" w:hAnsi="Century"/>
          <w:b/>
        </w:rPr>
      </w:pPr>
      <w:bookmarkStart w:id="94" w:name="n11923"/>
      <w:bookmarkEnd w:id="94"/>
      <w:r w:rsidRPr="00FF1F97">
        <w:rPr>
          <w:rFonts w:ascii="Century" w:hAnsi="Century"/>
          <w:b/>
        </w:rPr>
        <w:lastRenderedPageBreak/>
        <w:t>4. Особливості встановлення збору</w:t>
      </w:r>
    </w:p>
    <w:p w14:paraId="51DFFC60" w14:textId="77777777" w:rsidR="003C4AB4" w:rsidRPr="00FF1F97" w:rsidRDefault="003C4AB4" w:rsidP="008A525F">
      <w:pPr>
        <w:pStyle w:val="rvps2"/>
        <w:shd w:val="clear" w:color="auto" w:fill="FFFFFF"/>
        <w:spacing w:before="0" w:beforeAutospacing="0" w:after="0" w:afterAutospacing="0"/>
        <w:ind w:firstLine="851"/>
        <w:jc w:val="both"/>
        <w:rPr>
          <w:rFonts w:ascii="Century" w:hAnsi="Century"/>
        </w:rPr>
      </w:pPr>
      <w:bookmarkStart w:id="95" w:name="n11924"/>
      <w:bookmarkEnd w:id="95"/>
      <w:r w:rsidRPr="00FF1F97">
        <w:rPr>
          <w:rFonts w:ascii="Century" w:hAnsi="Century"/>
        </w:rPr>
        <w:t>Ставка збору та порядок сплати збору до бюджету встановлюються Городоцькою міською радою.</w:t>
      </w:r>
    </w:p>
    <w:p w14:paraId="18E1C831" w14:textId="77777777" w:rsidR="003C4AB4" w:rsidRPr="00FF1F97" w:rsidRDefault="003C4AB4" w:rsidP="008A525F">
      <w:pPr>
        <w:pStyle w:val="rvps2"/>
        <w:shd w:val="clear" w:color="auto" w:fill="FFFFFF"/>
        <w:spacing w:before="0" w:beforeAutospacing="0" w:after="0" w:afterAutospacing="0"/>
        <w:ind w:firstLine="450"/>
        <w:jc w:val="both"/>
        <w:rPr>
          <w:rFonts w:ascii="Century" w:hAnsi="Century"/>
        </w:rPr>
      </w:pPr>
    </w:p>
    <w:p w14:paraId="28C9C70F" w14:textId="77777777" w:rsidR="003C4AB4" w:rsidRPr="00FF1F97" w:rsidRDefault="003C4AB4" w:rsidP="008A525F">
      <w:pPr>
        <w:pStyle w:val="rvps2"/>
        <w:shd w:val="clear" w:color="auto" w:fill="FFFFFF"/>
        <w:spacing w:before="0" w:beforeAutospacing="0" w:after="0" w:afterAutospacing="0"/>
        <w:ind w:firstLine="450"/>
        <w:jc w:val="center"/>
        <w:rPr>
          <w:rFonts w:ascii="Century" w:hAnsi="Century"/>
          <w:b/>
        </w:rPr>
      </w:pPr>
      <w:bookmarkStart w:id="96" w:name="n12950"/>
      <w:bookmarkStart w:id="97" w:name="n11925"/>
      <w:bookmarkEnd w:id="96"/>
      <w:bookmarkEnd w:id="97"/>
      <w:r w:rsidRPr="00FF1F97">
        <w:rPr>
          <w:rFonts w:ascii="Century" w:hAnsi="Century"/>
          <w:b/>
        </w:rPr>
        <w:t>5. Порядок обчислення та строки сплати збору</w:t>
      </w:r>
    </w:p>
    <w:p w14:paraId="5FE65A52" w14:textId="77777777" w:rsidR="003C4AB4" w:rsidRPr="00FF1F97" w:rsidRDefault="003C4AB4" w:rsidP="008A525F">
      <w:pPr>
        <w:pStyle w:val="rvps2"/>
        <w:shd w:val="clear" w:color="auto" w:fill="FFFFFF"/>
        <w:spacing w:before="0" w:beforeAutospacing="0" w:after="0" w:afterAutospacing="0"/>
        <w:ind w:firstLine="851"/>
        <w:jc w:val="both"/>
        <w:rPr>
          <w:rFonts w:ascii="Century" w:hAnsi="Century"/>
        </w:rPr>
      </w:pPr>
      <w:bookmarkStart w:id="98" w:name="n11926"/>
      <w:bookmarkEnd w:id="98"/>
      <w:r w:rsidRPr="00FF1F97">
        <w:rPr>
          <w:rFonts w:ascii="Century" w:hAnsi="Century"/>
        </w:rPr>
        <w:t>5.1. 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об’єкта оподаткування.</w:t>
      </w:r>
    </w:p>
    <w:p w14:paraId="2323EDC2" w14:textId="77777777" w:rsidR="003C4AB4" w:rsidRPr="00FF1F97" w:rsidRDefault="003C4AB4" w:rsidP="008A525F">
      <w:pPr>
        <w:pStyle w:val="rvps2"/>
        <w:shd w:val="clear" w:color="auto" w:fill="FFFFFF"/>
        <w:spacing w:before="0" w:beforeAutospacing="0" w:after="0" w:afterAutospacing="0"/>
        <w:ind w:firstLine="851"/>
        <w:jc w:val="both"/>
        <w:rPr>
          <w:rFonts w:ascii="Century" w:hAnsi="Century"/>
        </w:rPr>
      </w:pPr>
      <w:bookmarkStart w:id="99" w:name="n11927"/>
      <w:bookmarkEnd w:id="99"/>
      <w:r w:rsidRPr="00FF1F97">
        <w:rPr>
          <w:rFonts w:ascii="Century" w:hAnsi="Century"/>
        </w:rPr>
        <w:t>5.2. 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у контролюючому органі за місцезнаходженням земельної ділянки.</w:t>
      </w:r>
    </w:p>
    <w:p w14:paraId="3464E985" w14:textId="77777777" w:rsidR="003C4AB4" w:rsidRPr="00FF1F97" w:rsidRDefault="003C4AB4" w:rsidP="008A525F">
      <w:pPr>
        <w:pStyle w:val="rvps2"/>
        <w:shd w:val="clear" w:color="auto" w:fill="FFFFFF"/>
        <w:spacing w:before="0" w:beforeAutospacing="0" w:after="0" w:afterAutospacing="0"/>
        <w:ind w:firstLine="851"/>
        <w:jc w:val="both"/>
        <w:rPr>
          <w:rFonts w:ascii="Century" w:hAnsi="Century"/>
        </w:rPr>
      </w:pPr>
      <w:bookmarkStart w:id="100" w:name="n11928"/>
      <w:bookmarkEnd w:id="100"/>
      <w:r w:rsidRPr="00FF1F97">
        <w:rPr>
          <w:rFonts w:ascii="Century" w:hAnsi="Century"/>
        </w:rPr>
        <w:t>5.3. Базовий податковий (звітний) період дорівнює календарному кварталу.</w:t>
      </w:r>
    </w:p>
    <w:p w14:paraId="1E5F5614" w14:textId="77777777" w:rsidR="003C4AB4" w:rsidRPr="00FF1F97" w:rsidRDefault="003C4AB4" w:rsidP="008A525F">
      <w:pPr>
        <w:rPr>
          <w:rFonts w:ascii="Century" w:hAnsi="Century"/>
          <w:lang w:val="uk-UA"/>
        </w:rPr>
      </w:pPr>
      <w:bookmarkStart w:id="101" w:name="n11911"/>
      <w:bookmarkEnd w:id="101"/>
    </w:p>
    <w:p w14:paraId="4A761109" w14:textId="77777777" w:rsidR="004E6E86" w:rsidRPr="00FF1F97" w:rsidRDefault="004E6E86" w:rsidP="008A525F">
      <w:pPr>
        <w:rPr>
          <w:rFonts w:ascii="Century" w:hAnsi="Century"/>
          <w:lang w:val="uk-UA"/>
        </w:rPr>
      </w:pPr>
    </w:p>
    <w:p w14:paraId="2E7862F5" w14:textId="77777777" w:rsidR="00BE1919" w:rsidRPr="00FF1F97" w:rsidRDefault="00BE1919" w:rsidP="008A525F">
      <w:pPr>
        <w:pStyle w:val="rvps2"/>
        <w:shd w:val="clear" w:color="auto" w:fill="FFFFFF"/>
        <w:spacing w:before="0" w:beforeAutospacing="0" w:after="0" w:afterAutospacing="0"/>
        <w:jc w:val="both"/>
        <w:rPr>
          <w:rStyle w:val="rvts46"/>
          <w:rFonts w:ascii="Century" w:hAnsi="Century"/>
          <w:b/>
          <w:iCs/>
        </w:rPr>
      </w:pPr>
      <w:r w:rsidRPr="00FF1F97">
        <w:rPr>
          <w:rStyle w:val="rvts46"/>
          <w:rFonts w:ascii="Century" w:hAnsi="Century"/>
          <w:b/>
          <w:iCs/>
        </w:rPr>
        <w:t>Секретар ради                                                           Микола ЛУПІЙ</w:t>
      </w:r>
    </w:p>
    <w:p w14:paraId="5B791EEE" w14:textId="77777777" w:rsidR="004E6E86" w:rsidRPr="00FF1F97" w:rsidRDefault="004E6E86">
      <w:pPr>
        <w:rPr>
          <w:rFonts w:ascii="Century" w:hAnsi="Century"/>
          <w:lang w:val="uk-UA"/>
        </w:rPr>
      </w:pPr>
    </w:p>
    <w:sectPr w:rsidR="004E6E86" w:rsidRPr="00FF1F97" w:rsidSect="002C150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swiss"/>
    <w:notTrueType/>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3B6B"/>
    <w:multiLevelType w:val="hybridMultilevel"/>
    <w:tmpl w:val="5E123CC4"/>
    <w:lvl w:ilvl="0" w:tplc="5A9ED8C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 w15:restartNumberingAfterBreak="0">
    <w:nsid w:val="51DC29C4"/>
    <w:multiLevelType w:val="hybridMultilevel"/>
    <w:tmpl w:val="FA5E93AA"/>
    <w:lvl w:ilvl="0" w:tplc="87C63B5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EC"/>
    <w:rsid w:val="00062AE0"/>
    <w:rsid w:val="00073C93"/>
    <w:rsid w:val="00094757"/>
    <w:rsid w:val="00101BC7"/>
    <w:rsid w:val="0014759B"/>
    <w:rsid w:val="001A3EC1"/>
    <w:rsid w:val="001F711E"/>
    <w:rsid w:val="00201021"/>
    <w:rsid w:val="002133BE"/>
    <w:rsid w:val="002A1803"/>
    <w:rsid w:val="002C1503"/>
    <w:rsid w:val="002E3923"/>
    <w:rsid w:val="00307525"/>
    <w:rsid w:val="003101F7"/>
    <w:rsid w:val="003733B4"/>
    <w:rsid w:val="003865A2"/>
    <w:rsid w:val="00394E11"/>
    <w:rsid w:val="003C258D"/>
    <w:rsid w:val="003C4AB4"/>
    <w:rsid w:val="004968E8"/>
    <w:rsid w:val="004C549E"/>
    <w:rsid w:val="004E6E86"/>
    <w:rsid w:val="00533C44"/>
    <w:rsid w:val="0059159B"/>
    <w:rsid w:val="005E6986"/>
    <w:rsid w:val="00653E9D"/>
    <w:rsid w:val="00667979"/>
    <w:rsid w:val="006A29DA"/>
    <w:rsid w:val="006F16F5"/>
    <w:rsid w:val="007267CE"/>
    <w:rsid w:val="008813F4"/>
    <w:rsid w:val="00896C2D"/>
    <w:rsid w:val="008A525F"/>
    <w:rsid w:val="008F3BD0"/>
    <w:rsid w:val="00946FBB"/>
    <w:rsid w:val="009726C9"/>
    <w:rsid w:val="00A01A3B"/>
    <w:rsid w:val="00A70109"/>
    <w:rsid w:val="00A71C39"/>
    <w:rsid w:val="00A964D9"/>
    <w:rsid w:val="00B046EC"/>
    <w:rsid w:val="00B11785"/>
    <w:rsid w:val="00B468DD"/>
    <w:rsid w:val="00B473BD"/>
    <w:rsid w:val="00BC45D9"/>
    <w:rsid w:val="00BE1919"/>
    <w:rsid w:val="00C30B0A"/>
    <w:rsid w:val="00C74560"/>
    <w:rsid w:val="00C9094F"/>
    <w:rsid w:val="00CB6735"/>
    <w:rsid w:val="00D1732B"/>
    <w:rsid w:val="00D566DA"/>
    <w:rsid w:val="00DB39C0"/>
    <w:rsid w:val="00DC06F3"/>
    <w:rsid w:val="00E009D9"/>
    <w:rsid w:val="00E21379"/>
    <w:rsid w:val="00E34071"/>
    <w:rsid w:val="00EA6022"/>
    <w:rsid w:val="00EE5F1D"/>
    <w:rsid w:val="00F16847"/>
    <w:rsid w:val="00F67465"/>
    <w:rsid w:val="00F97B88"/>
    <w:rsid w:val="00FF1F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4E3DA"/>
  <w15:chartTrackingRefBased/>
  <w15:docId w15:val="{978999DE-40EB-474E-A0C8-E8DECB77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6EC"/>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c2">
    <w:name w:val="tc2"/>
    <w:basedOn w:val="a"/>
    <w:rsid w:val="00B046EC"/>
    <w:pPr>
      <w:spacing w:line="300" w:lineRule="atLeast"/>
      <w:jc w:val="center"/>
    </w:pPr>
  </w:style>
  <w:style w:type="paragraph" w:styleId="a3">
    <w:name w:val="Body Text"/>
    <w:basedOn w:val="a"/>
    <w:rsid w:val="00B046EC"/>
    <w:pPr>
      <w:jc w:val="both"/>
    </w:pPr>
    <w:rPr>
      <w:sz w:val="26"/>
      <w:lang w:val="uk-UA"/>
    </w:rPr>
  </w:style>
  <w:style w:type="character" w:styleId="a4">
    <w:name w:val="Strong"/>
    <w:qFormat/>
    <w:rsid w:val="00B046EC"/>
    <w:rPr>
      <w:b/>
      <w:bCs/>
    </w:rPr>
  </w:style>
  <w:style w:type="paragraph" w:customStyle="1" w:styleId="StyleZakonu">
    <w:name w:val="StyleZakonu"/>
    <w:basedOn w:val="a"/>
    <w:link w:val="StyleZakonu0"/>
    <w:rsid w:val="00B046EC"/>
    <w:pPr>
      <w:spacing w:after="60" w:line="220" w:lineRule="exact"/>
      <w:ind w:firstLine="284"/>
      <w:jc w:val="both"/>
    </w:pPr>
    <w:rPr>
      <w:lang w:val="uk-UA"/>
    </w:rPr>
  </w:style>
  <w:style w:type="character" w:customStyle="1" w:styleId="StyleZakonu0">
    <w:name w:val="StyleZakonu Знак"/>
    <w:link w:val="StyleZakonu"/>
    <w:locked/>
    <w:rsid w:val="00B046EC"/>
    <w:rPr>
      <w:sz w:val="24"/>
      <w:szCs w:val="24"/>
      <w:lang w:val="uk-UA" w:eastAsia="ru-RU" w:bidi="ar-SA"/>
    </w:rPr>
  </w:style>
  <w:style w:type="paragraph" w:styleId="3">
    <w:name w:val="Body Text 3"/>
    <w:basedOn w:val="a"/>
    <w:rsid w:val="00B046EC"/>
    <w:pPr>
      <w:spacing w:after="120"/>
    </w:pPr>
    <w:rPr>
      <w:sz w:val="16"/>
      <w:szCs w:val="16"/>
    </w:rPr>
  </w:style>
  <w:style w:type="paragraph" w:styleId="a5">
    <w:name w:val="Balloon Text"/>
    <w:basedOn w:val="a"/>
    <w:link w:val="a6"/>
    <w:uiPriority w:val="99"/>
    <w:semiHidden/>
    <w:unhideWhenUsed/>
    <w:rsid w:val="007267CE"/>
    <w:rPr>
      <w:rFonts w:ascii="Tahoma" w:hAnsi="Tahoma"/>
      <w:sz w:val="16"/>
      <w:szCs w:val="16"/>
    </w:rPr>
  </w:style>
  <w:style w:type="character" w:customStyle="1" w:styleId="a6">
    <w:name w:val="Текст у виносці Знак"/>
    <w:link w:val="a5"/>
    <w:uiPriority w:val="99"/>
    <w:semiHidden/>
    <w:rsid w:val="007267CE"/>
    <w:rPr>
      <w:rFonts w:ascii="Tahoma" w:hAnsi="Tahoma" w:cs="Tahoma"/>
      <w:sz w:val="16"/>
      <w:szCs w:val="16"/>
      <w:lang w:val="ru-RU" w:eastAsia="ru-RU"/>
    </w:rPr>
  </w:style>
  <w:style w:type="character" w:customStyle="1" w:styleId="rvts0">
    <w:name w:val="rvts0"/>
    <w:rsid w:val="00D1732B"/>
  </w:style>
  <w:style w:type="table" w:styleId="a7">
    <w:name w:val="Table Grid"/>
    <w:basedOn w:val="a1"/>
    <w:uiPriority w:val="59"/>
    <w:rsid w:val="00D17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3C4AB4"/>
    <w:pPr>
      <w:spacing w:before="100" w:beforeAutospacing="1" w:after="100" w:afterAutospacing="1"/>
    </w:pPr>
    <w:rPr>
      <w:lang w:val="uk-UA" w:eastAsia="uk-UA"/>
    </w:rPr>
  </w:style>
  <w:style w:type="character" w:customStyle="1" w:styleId="rvts9">
    <w:name w:val="rvts9"/>
    <w:rsid w:val="003C4AB4"/>
  </w:style>
  <w:style w:type="character" w:customStyle="1" w:styleId="rvts46">
    <w:name w:val="rvts46"/>
    <w:rsid w:val="003C4AB4"/>
  </w:style>
  <w:style w:type="character" w:styleId="a8">
    <w:name w:val="Hyperlink"/>
    <w:uiPriority w:val="99"/>
    <w:rsid w:val="003C4AB4"/>
    <w:rPr>
      <w:color w:val="0000FF"/>
      <w:u w:val="single"/>
    </w:rPr>
  </w:style>
  <w:style w:type="paragraph" w:customStyle="1" w:styleId="a9">
    <w:name w:val="Назва документа"/>
    <w:basedOn w:val="a"/>
    <w:next w:val="a"/>
    <w:rsid w:val="003C258D"/>
    <w:pPr>
      <w:keepNext/>
      <w:keepLines/>
      <w:spacing w:before="240" w:after="240"/>
      <w:jc w:val="center"/>
    </w:pPr>
    <w:rPr>
      <w:rFonts w:ascii="Antiqua" w:hAnsi="Antiqua"/>
      <w:b/>
      <w:sz w:val="26"/>
      <w:szCs w:val="20"/>
      <w:lang w:val="uk-UA"/>
    </w:rPr>
  </w:style>
  <w:style w:type="paragraph" w:customStyle="1" w:styleId="aa">
    <w:name w:val="Нормальний текст"/>
    <w:basedOn w:val="a"/>
    <w:rsid w:val="00B473BD"/>
    <w:pPr>
      <w:spacing w:before="120"/>
      <w:ind w:firstLine="567"/>
    </w:pPr>
    <w:rPr>
      <w:rFonts w:ascii="Antiqua" w:hAnsi="Antiqua"/>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63081">
      <w:bodyDiv w:val="1"/>
      <w:marLeft w:val="0"/>
      <w:marRight w:val="0"/>
      <w:marTop w:val="0"/>
      <w:marBottom w:val="0"/>
      <w:divBdr>
        <w:top w:val="none" w:sz="0" w:space="0" w:color="auto"/>
        <w:left w:val="none" w:sz="0" w:space="0" w:color="auto"/>
        <w:bottom w:val="none" w:sz="0" w:space="0" w:color="auto"/>
        <w:right w:val="none" w:sz="0" w:space="0" w:color="auto"/>
      </w:divBdr>
    </w:div>
    <w:div w:id="1773284259">
      <w:bodyDiv w:val="1"/>
      <w:marLeft w:val="0"/>
      <w:marRight w:val="0"/>
      <w:marTop w:val="0"/>
      <w:marBottom w:val="0"/>
      <w:divBdr>
        <w:top w:val="none" w:sz="0" w:space="0" w:color="auto"/>
        <w:left w:val="none" w:sz="0" w:space="0" w:color="auto"/>
        <w:bottom w:val="none" w:sz="0" w:space="0" w:color="auto"/>
        <w:right w:val="none" w:sz="0" w:space="0" w:color="auto"/>
      </w:divBdr>
    </w:div>
    <w:div w:id="2000376490">
      <w:bodyDiv w:val="1"/>
      <w:marLeft w:val="0"/>
      <w:marRight w:val="0"/>
      <w:marTop w:val="0"/>
      <w:marBottom w:val="0"/>
      <w:divBdr>
        <w:top w:val="none" w:sz="0" w:space="0" w:color="auto"/>
        <w:left w:val="none" w:sz="0" w:space="0" w:color="auto"/>
        <w:bottom w:val="none" w:sz="0" w:space="0" w:color="auto"/>
        <w:right w:val="none" w:sz="0" w:space="0" w:color="auto"/>
      </w:divBdr>
    </w:div>
    <w:div w:id="203345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hyperlink" Target="https://zakon.rada.gov.ua/laws/show/2755-17/paran6410" TargetMode="External"/><Relationship Id="rId18" Type="http://schemas.openxmlformats.org/officeDocument/2006/relationships/hyperlink" Target="https://zakon.rada.gov.ua/laws/show/2755-17/paran641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zakon.rada.gov.ua/laws/show/66-2016-%D0%BF" TargetMode="External"/><Relationship Id="rId12" Type="http://schemas.openxmlformats.org/officeDocument/2006/relationships/hyperlink" Target="https://zakon.rada.gov.ua/laws/show/2755-17/print" TargetMode="External"/><Relationship Id="rId17" Type="http://schemas.openxmlformats.org/officeDocument/2006/relationships/hyperlink" Target="https://zakon.rada.gov.ua/laws/show/1706-18" TargetMode="External"/><Relationship Id="rId2" Type="http://schemas.openxmlformats.org/officeDocument/2006/relationships/numbering" Target="numbering.xml"/><Relationship Id="rId16" Type="http://schemas.openxmlformats.org/officeDocument/2006/relationships/hyperlink" Target="https://zakon.rada.gov.ua/laws/show/2755-17/paran6410" TargetMode="External"/><Relationship Id="rId20" Type="http://schemas.openxmlformats.org/officeDocument/2006/relationships/hyperlink" Target="https://zakon.rada.gov.ua/laws/show/875-1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2456-17" TargetMode="External"/><Relationship Id="rId5" Type="http://schemas.openxmlformats.org/officeDocument/2006/relationships/webSettings" Target="webSettings.xml"/><Relationship Id="rId15" Type="http://schemas.openxmlformats.org/officeDocument/2006/relationships/hyperlink" Target="https://zakon.rada.gov.ua/laws/show/2755-17/paran6410" TargetMode="External"/><Relationship Id="rId10" Type="http://schemas.openxmlformats.org/officeDocument/2006/relationships/hyperlink" Target="https://zakon.rada.gov.ua/laws/show/2755-17" TargetMode="External"/><Relationship Id="rId19" Type="http://schemas.openxmlformats.org/officeDocument/2006/relationships/hyperlink" Target="https://zakon.rada.gov.ua/laws/show/2755-17/print" TargetMode="External"/><Relationship Id="rId4" Type="http://schemas.openxmlformats.org/officeDocument/2006/relationships/settings" Target="settings.xml"/><Relationship Id="rId9" Type="http://schemas.openxmlformats.org/officeDocument/2006/relationships/hyperlink" Target="https://zakon.rada.gov.ua/laws/show/z0785-15" TargetMode="External"/><Relationship Id="rId14" Type="http://schemas.openxmlformats.org/officeDocument/2006/relationships/hyperlink" Target="https://zakon.rada.gov.ua/laws/show/2755-17/paran641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48395-44A3-4B9E-B150-85A3F821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16072</Words>
  <Characters>9162</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SPecialiST RePack</Company>
  <LinksUpToDate>false</LinksUpToDate>
  <CharactersWithSpaces>25184</CharactersWithSpaces>
  <SharedDoc>false</SharedDoc>
  <HLinks>
    <vt:vector size="84" baseType="variant">
      <vt:variant>
        <vt:i4>7536688</vt:i4>
      </vt:variant>
      <vt:variant>
        <vt:i4>39</vt:i4>
      </vt:variant>
      <vt:variant>
        <vt:i4>0</vt:i4>
      </vt:variant>
      <vt:variant>
        <vt:i4>5</vt:i4>
      </vt:variant>
      <vt:variant>
        <vt:lpwstr>https://zakon.rada.gov.ua/laws/show/875-12</vt:lpwstr>
      </vt:variant>
      <vt:variant>
        <vt:lpwstr/>
      </vt:variant>
      <vt:variant>
        <vt:i4>5898325</vt:i4>
      </vt:variant>
      <vt:variant>
        <vt:i4>36</vt:i4>
      </vt:variant>
      <vt:variant>
        <vt:i4>0</vt:i4>
      </vt:variant>
      <vt:variant>
        <vt:i4>5</vt:i4>
      </vt:variant>
      <vt:variant>
        <vt:lpwstr>https://zakon.rada.gov.ua/laws/show/2755-17/print</vt:lpwstr>
      </vt:variant>
      <vt:variant>
        <vt:lpwstr>n130</vt:lpwstr>
      </vt:variant>
      <vt:variant>
        <vt:i4>7405606</vt:i4>
      </vt:variant>
      <vt:variant>
        <vt:i4>33</vt:i4>
      </vt:variant>
      <vt:variant>
        <vt:i4>0</vt:i4>
      </vt:variant>
      <vt:variant>
        <vt:i4>5</vt:i4>
      </vt:variant>
      <vt:variant>
        <vt:lpwstr>https://zakon.rada.gov.ua/laws/show/2755-17/paran6410</vt:lpwstr>
      </vt:variant>
      <vt:variant>
        <vt:lpwstr>n11909</vt:lpwstr>
      </vt:variant>
      <vt:variant>
        <vt:i4>7012384</vt:i4>
      </vt:variant>
      <vt:variant>
        <vt:i4>30</vt:i4>
      </vt:variant>
      <vt:variant>
        <vt:i4>0</vt:i4>
      </vt:variant>
      <vt:variant>
        <vt:i4>5</vt:i4>
      </vt:variant>
      <vt:variant>
        <vt:lpwstr>https://zakon.rada.gov.ua/laws/show/1706-18</vt:lpwstr>
      </vt:variant>
      <vt:variant>
        <vt:lpwstr/>
      </vt:variant>
      <vt:variant>
        <vt:i4>7929894</vt:i4>
      </vt:variant>
      <vt:variant>
        <vt:i4>27</vt:i4>
      </vt:variant>
      <vt:variant>
        <vt:i4>0</vt:i4>
      </vt:variant>
      <vt:variant>
        <vt:i4>5</vt:i4>
      </vt:variant>
      <vt:variant>
        <vt:lpwstr>https://zakon.rada.gov.ua/laws/show/2755-17/paran6410</vt:lpwstr>
      </vt:variant>
      <vt:variant>
        <vt:lpwstr>n11901</vt:lpwstr>
      </vt:variant>
      <vt:variant>
        <vt:i4>4194320</vt:i4>
      </vt:variant>
      <vt:variant>
        <vt:i4>24</vt:i4>
      </vt:variant>
      <vt:variant>
        <vt:i4>0</vt:i4>
      </vt:variant>
      <vt:variant>
        <vt:i4>5</vt:i4>
      </vt:variant>
      <vt:variant>
        <vt:lpwstr>https://zakon.rada.gov.ua/laws/show/2755-17/paran6410</vt:lpwstr>
      </vt:variant>
      <vt:variant>
        <vt:lpwstr>n777</vt:lpwstr>
      </vt:variant>
      <vt:variant>
        <vt:i4>7929894</vt:i4>
      </vt:variant>
      <vt:variant>
        <vt:i4>21</vt:i4>
      </vt:variant>
      <vt:variant>
        <vt:i4>0</vt:i4>
      </vt:variant>
      <vt:variant>
        <vt:i4>5</vt:i4>
      </vt:variant>
      <vt:variant>
        <vt:lpwstr>https://zakon.rada.gov.ua/laws/show/2755-17/paran6410</vt:lpwstr>
      </vt:variant>
      <vt:variant>
        <vt:lpwstr>n11901</vt:lpwstr>
      </vt:variant>
      <vt:variant>
        <vt:i4>4456478</vt:i4>
      </vt:variant>
      <vt:variant>
        <vt:i4>18</vt:i4>
      </vt:variant>
      <vt:variant>
        <vt:i4>0</vt:i4>
      </vt:variant>
      <vt:variant>
        <vt:i4>5</vt:i4>
      </vt:variant>
      <vt:variant>
        <vt:lpwstr>https://zakon.rada.gov.ua/laws/show/2755-17/paran6410</vt:lpwstr>
      </vt:variant>
      <vt:variant>
        <vt:lpwstr>n692</vt:lpwstr>
      </vt:variant>
      <vt:variant>
        <vt:i4>6422631</vt:i4>
      </vt:variant>
      <vt:variant>
        <vt:i4>15</vt:i4>
      </vt:variant>
      <vt:variant>
        <vt:i4>0</vt:i4>
      </vt:variant>
      <vt:variant>
        <vt:i4>5</vt:i4>
      </vt:variant>
      <vt:variant>
        <vt:lpwstr>https://zakon.rada.gov.ua/laws/show/2755-17/print</vt:lpwstr>
      </vt:variant>
      <vt:variant>
        <vt:lpwstr>n11901</vt:lpwstr>
      </vt:variant>
      <vt:variant>
        <vt:i4>6815782</vt:i4>
      </vt:variant>
      <vt:variant>
        <vt:i4>12</vt:i4>
      </vt:variant>
      <vt:variant>
        <vt:i4>0</vt:i4>
      </vt:variant>
      <vt:variant>
        <vt:i4>5</vt:i4>
      </vt:variant>
      <vt:variant>
        <vt:lpwstr>https://zakon.rada.gov.ua/laws/show/2456-17</vt:lpwstr>
      </vt:variant>
      <vt:variant>
        <vt:lpwstr/>
      </vt:variant>
      <vt:variant>
        <vt:i4>7143545</vt:i4>
      </vt:variant>
      <vt:variant>
        <vt:i4>9</vt:i4>
      </vt:variant>
      <vt:variant>
        <vt:i4>0</vt:i4>
      </vt:variant>
      <vt:variant>
        <vt:i4>5</vt:i4>
      </vt:variant>
      <vt:variant>
        <vt:lpwstr>https://zakon.rada.gov.ua/laws/show/2755-17</vt:lpwstr>
      </vt:variant>
      <vt:variant>
        <vt:lpwstr>n1144</vt:lpwstr>
      </vt:variant>
      <vt:variant>
        <vt:i4>7995435</vt:i4>
      </vt:variant>
      <vt:variant>
        <vt:i4>6</vt:i4>
      </vt:variant>
      <vt:variant>
        <vt:i4>0</vt:i4>
      </vt:variant>
      <vt:variant>
        <vt:i4>5</vt:i4>
      </vt:variant>
      <vt:variant>
        <vt:lpwstr>https://zakon.rada.gov.ua/laws/show/z0785-15</vt:lpwstr>
      </vt:variant>
      <vt:variant>
        <vt:lpwstr>n14</vt:lpwstr>
      </vt:variant>
      <vt:variant>
        <vt:i4>6291576</vt:i4>
      </vt:variant>
      <vt:variant>
        <vt:i4>3</vt:i4>
      </vt:variant>
      <vt:variant>
        <vt:i4>0</vt:i4>
      </vt:variant>
      <vt:variant>
        <vt:i4>5</vt:i4>
      </vt:variant>
      <vt:variant>
        <vt:lpwstr>https://zakon.rada.gov.ua/laws/show/2755-17</vt:lpwstr>
      </vt:variant>
      <vt:variant>
        <vt:lpwstr>n1091</vt:lpwstr>
      </vt:variant>
      <vt:variant>
        <vt:i4>6094856</vt:i4>
      </vt:variant>
      <vt:variant>
        <vt:i4>0</vt:i4>
      </vt:variant>
      <vt:variant>
        <vt:i4>0</vt:i4>
      </vt:variant>
      <vt:variant>
        <vt:i4>5</vt:i4>
      </vt:variant>
      <vt:variant>
        <vt:lpwstr>https://zakon.rada.gov.ua/laws/show/66-2016-%D0%BF</vt:lpwstr>
      </vt:variant>
      <vt:variant>
        <vt:lpwstr>n9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G.O.R</dc:creator>
  <cp:keywords/>
  <cp:lastModifiedBy>Secretary</cp:lastModifiedBy>
  <cp:revision>4</cp:revision>
  <cp:lastPrinted>2021-06-24T14:59:00Z</cp:lastPrinted>
  <dcterms:created xsi:type="dcterms:W3CDTF">2021-06-24T14:22:00Z</dcterms:created>
  <dcterms:modified xsi:type="dcterms:W3CDTF">2021-06-24T15:04:00Z</dcterms:modified>
</cp:coreProperties>
</file>