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B7A8" w14:textId="77777777" w:rsidR="00037F8E" w:rsidRPr="00DD71F9" w:rsidRDefault="00037F8E" w:rsidP="00037F8E">
      <w:pPr>
        <w:suppressAutoHyphens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DD71F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0A0249C" wp14:editId="0AA9453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86BCD" w14:textId="77777777" w:rsidR="00037F8E" w:rsidRPr="00DD71F9" w:rsidRDefault="00037F8E" w:rsidP="00037F8E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DD71F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28C8FC5" w14:textId="77777777" w:rsidR="00037F8E" w:rsidRPr="00DD71F9" w:rsidRDefault="00037F8E" w:rsidP="00037F8E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DD71F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5745733" w14:textId="77777777" w:rsidR="00037F8E" w:rsidRPr="00DD71F9" w:rsidRDefault="00037F8E" w:rsidP="00037F8E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DD71F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B42292E" w14:textId="77777777" w:rsidR="00037F8E" w:rsidRPr="00DD71F9" w:rsidRDefault="00037F8E" w:rsidP="00037F8E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b/>
          <w:caps/>
          <w:sz w:val="28"/>
          <w:szCs w:val="28"/>
          <w:lang w:eastAsia="ru-RU"/>
        </w:rPr>
      </w:pPr>
      <w:r w:rsidRPr="00DD71F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9 </w:t>
      </w:r>
      <w:r w:rsidRPr="00DD71F9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54328188" w14:textId="6C5B9E49" w:rsidR="00037F8E" w:rsidRPr="00DD71F9" w:rsidRDefault="00037F8E" w:rsidP="00037F8E">
      <w:pPr>
        <w:suppressAutoHyphens/>
        <w:spacing w:after="0" w:line="240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DD71F9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Pr="00DD71F9">
        <w:rPr>
          <w:rFonts w:ascii="Century" w:eastAsia="Calibri" w:hAnsi="Century" w:cs="Times New Roman"/>
          <w:bCs/>
          <w:sz w:val="36"/>
          <w:szCs w:val="36"/>
          <w:lang w:eastAsia="ru-RU"/>
        </w:rPr>
        <w:t>187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8</w:t>
      </w:r>
    </w:p>
    <w:p w14:paraId="08C069C7" w14:textId="77777777" w:rsidR="003A7794" w:rsidRPr="004619C7" w:rsidRDefault="003A7794" w:rsidP="003A77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</w:p>
    <w:p w14:paraId="58A6B256" w14:textId="77777777" w:rsidR="003A7794" w:rsidRDefault="003A7794" w:rsidP="003A7794">
      <w:pPr>
        <w:spacing w:after="0" w:line="240" w:lineRule="auto"/>
        <w:ind w:right="2578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</w:t>
      </w:r>
      <w:r w:rsidR="00831BA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затвердження проекту землеустрою щодо зміни цільового призначення земельної ділянки та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продаж права оренди земельної ділянки </w:t>
      </w:r>
      <w:r w:rsidRPr="003A7794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на конкурентних засадах (земельних торгах) у формі аукціону</w:t>
      </w:r>
    </w:p>
    <w:p w14:paraId="0E146C2E" w14:textId="77777777" w:rsidR="003A7794" w:rsidRDefault="003A7794" w:rsidP="003A7794">
      <w:pPr>
        <w:spacing w:after="0" w:line="240" w:lineRule="auto"/>
        <w:ind w:right="2578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4086D982" w14:textId="77777777" w:rsidR="003A7794" w:rsidRDefault="003A7794" w:rsidP="003A7794">
      <w:pPr>
        <w:spacing w:after="0" w:line="240" w:lineRule="auto"/>
        <w:ind w:right="2578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10531DEE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проект землеустрою щодо відведення земельної ділянки з метою продажу права оренди земельної ділянки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>н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а земельних торгах (аукціоні) 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Д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ля будівництва та обслуговування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>об’єктів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фізичної культури і спорту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(код згідно КВЦПЗ – 07.02), що розташована по вул. Верхня в </w:t>
      </w:r>
      <w:proofErr w:type="spellStart"/>
      <w:r w:rsidR="00D63650">
        <w:rPr>
          <w:rFonts w:ascii="Century" w:eastAsia="Times New Roman" w:hAnsi="Century" w:cs="Arial"/>
          <w:sz w:val="28"/>
          <w:szCs w:val="28"/>
          <w:lang w:eastAsia="ru-RU"/>
        </w:rPr>
        <w:t>с.Бартатів</w:t>
      </w:r>
      <w:proofErr w:type="spellEnd"/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Львівського району Львівської області, який розроблено ФОП </w:t>
      </w:r>
      <w:proofErr w:type="spellStart"/>
      <w:r w:rsidR="00D63650">
        <w:rPr>
          <w:rFonts w:ascii="Century" w:eastAsia="Times New Roman" w:hAnsi="Century" w:cs="Arial"/>
          <w:sz w:val="28"/>
          <w:szCs w:val="28"/>
          <w:lang w:eastAsia="ru-RU"/>
        </w:rPr>
        <w:t>Білінська</w:t>
      </w:r>
      <w:proofErr w:type="spellEnd"/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С.В. на підставі рішення сесії Городоцької міської ради №1647 від 24.06.2021, з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метою продажу права оренди земельної ділянки 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>на конкурентних засадах (земельних торгах) у формі аукціону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, 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відповідно до ст. 26 Закону України «Про місцеве самоврядування в Україні», та </w:t>
      </w:r>
      <w:proofErr w:type="spellStart"/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ст.ст</w:t>
      </w:r>
      <w:proofErr w:type="spellEnd"/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12, 122, 127, 134-139 Земельного кодексу України, Городоцька міська рада </w:t>
      </w:r>
    </w:p>
    <w:p w14:paraId="5FAFF4CC" w14:textId="77777777" w:rsidR="003A7794" w:rsidRPr="003A7794" w:rsidRDefault="003A7794" w:rsidP="00D63650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b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b/>
          <w:sz w:val="28"/>
          <w:szCs w:val="28"/>
          <w:lang w:eastAsia="ru-RU"/>
        </w:rPr>
        <w:t>В И Р І Ш И Л А :</w:t>
      </w:r>
    </w:p>
    <w:p w14:paraId="7C4F1EEE" w14:textId="77777777" w:rsidR="00831BA7" w:rsidRDefault="003A7794" w:rsidP="00831BA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1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>.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Затвердити проект землеустрою щодо відведення земельної ділянки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площею 1,5976 га з кадастровим номером 4620980800:18:001:0056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>,</w:t>
      </w:r>
      <w:r w:rsidR="00831BA7" w:rsidRPr="00831BA7">
        <w:t xml:space="preserve"> 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що розташована по вул. Верхня в с. </w:t>
      </w:r>
      <w:proofErr w:type="spellStart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Львівського району Львівської області.</w:t>
      </w:r>
    </w:p>
    <w:p w14:paraId="02629517" w14:textId="77777777" w:rsidR="00A17541" w:rsidRDefault="008C0FF9" w:rsidP="00831BA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2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.Змінити цільове призначення земельної ділянки площею 1,5976 га з кадастровим номером 4620980800:18:001:0056, що розташована по вул. Верхня в с. </w:t>
      </w:r>
      <w:proofErr w:type="spellStart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ького району Львівської області </w:t>
      </w:r>
      <w:r w:rsidR="00A17541">
        <w:rPr>
          <w:rFonts w:ascii="Century" w:eastAsia="Times New Roman" w:hAnsi="Century" w:cs="Arial"/>
          <w:sz w:val="28"/>
          <w:szCs w:val="28"/>
          <w:lang w:eastAsia="ru-RU"/>
        </w:rPr>
        <w:t>і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з «</w:t>
      </w:r>
      <w:r w:rsidR="00A17541">
        <w:rPr>
          <w:rFonts w:ascii="Century" w:eastAsia="Times New Roman" w:hAnsi="Century" w:cs="Arial"/>
          <w:sz w:val="28"/>
          <w:szCs w:val="28"/>
          <w:lang w:eastAsia="ru-RU"/>
        </w:rPr>
        <w:t xml:space="preserve">Землі запасу» 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на «</w:t>
      </w:r>
      <w:r w:rsidR="00A17541" w:rsidRPr="00A17541">
        <w:rPr>
          <w:rFonts w:ascii="Century" w:eastAsia="Times New Roman" w:hAnsi="Century" w:cs="Arial"/>
          <w:sz w:val="28"/>
          <w:szCs w:val="28"/>
          <w:lang w:eastAsia="ru-RU"/>
        </w:rPr>
        <w:t>Для будівництва та обслуговування об’єктів фізичної культури і спорту</w:t>
      </w:r>
      <w:r w:rsidR="00A17541">
        <w:rPr>
          <w:rFonts w:ascii="Century" w:eastAsia="Times New Roman" w:hAnsi="Century" w:cs="Arial"/>
          <w:sz w:val="28"/>
          <w:szCs w:val="28"/>
          <w:lang w:eastAsia="ru-RU"/>
        </w:rPr>
        <w:t>»</w:t>
      </w:r>
      <w:r w:rsidR="00A17541" w:rsidRPr="00A17541">
        <w:rPr>
          <w:rFonts w:ascii="Century" w:eastAsia="Times New Roman" w:hAnsi="Century" w:cs="Arial"/>
          <w:sz w:val="28"/>
          <w:szCs w:val="28"/>
          <w:lang w:eastAsia="ru-RU"/>
        </w:rPr>
        <w:t xml:space="preserve"> (код згідно КВЦПЗ – 07.02)</w:t>
      </w:r>
      <w:r w:rsidR="00800D19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1AFE33F4" w14:textId="77777777" w:rsidR="00A17541" w:rsidRDefault="00A17541" w:rsidP="00831BA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>3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.Затвердити розрахунок втрати сільськогосподарського виробництва в розмірі </w:t>
      </w:r>
      <w:r>
        <w:rPr>
          <w:rFonts w:ascii="Century" w:eastAsia="Times New Roman" w:hAnsi="Century" w:cs="Arial"/>
          <w:sz w:val="28"/>
          <w:szCs w:val="28"/>
          <w:lang w:eastAsia="ru-RU"/>
        </w:rPr>
        <w:t>145</w:t>
      </w:r>
      <w:r w:rsidRPr="00A17541">
        <w:rPr>
          <w:rFonts w:ascii="Century" w:eastAsia="Times New Roman" w:hAnsi="Century" w:cs="Arial"/>
          <w:sz w:val="28"/>
          <w:szCs w:val="28"/>
          <w:lang w:eastAsia="ru-RU"/>
        </w:rPr>
        <w:t>276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,25 грн </w:t>
      </w:r>
      <w:r w:rsidRPr="00A17541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800D19">
        <w:rPr>
          <w:rFonts w:ascii="Century" w:eastAsia="Times New Roman" w:hAnsi="Century" w:cs="Arial"/>
          <w:sz w:val="28"/>
          <w:szCs w:val="28"/>
          <w:lang w:eastAsia="ru-RU"/>
        </w:rPr>
        <w:t>(сто сорок п’ять тисяч двісті сімдесят шість гривень 25 копійок).</w:t>
      </w:r>
    </w:p>
    <w:p w14:paraId="251BCBA5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val="ru-RU"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 4.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Включити зе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мельну ділянку 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площею 1,5976 га з кадастровим номером 4620980800:18:001:0056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>та цільови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м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призначенням </w:t>
      </w:r>
      <w:r>
        <w:rPr>
          <w:rFonts w:ascii="Century" w:eastAsia="Times New Roman" w:hAnsi="Century" w:cs="Arial"/>
          <w:sz w:val="28"/>
          <w:szCs w:val="28"/>
          <w:lang w:eastAsia="ru-RU"/>
        </w:rPr>
        <w:t>«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Д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>ля будівництва та обслуговування об’єктів фізичної культури і спорту</w:t>
      </w:r>
      <w:r>
        <w:rPr>
          <w:rFonts w:ascii="Century" w:eastAsia="Times New Roman" w:hAnsi="Century" w:cs="Arial"/>
          <w:sz w:val="28"/>
          <w:szCs w:val="28"/>
          <w:lang w:eastAsia="ru-RU"/>
        </w:rPr>
        <w:t>»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(код згідно КВЦПЗ – 07.02), що розташована по вул. Верхня, в с. </w:t>
      </w:r>
      <w:proofErr w:type="spellStart"/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Львівського району Львівської області,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в перелік земельних ділянок, права на які виставляються на земельні торги.</w:t>
      </w:r>
    </w:p>
    <w:p w14:paraId="366045AB" w14:textId="77777777" w:rsidR="002A75EC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5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Продати 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>прав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о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оренди на конкурентних засадах (земельних торгах) у формі аукціону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земельної д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ілянку площею 1,5976 га з кадастровим номером 4620980800:18:001:0056 та цільовим призначенням </w:t>
      </w:r>
      <w:r>
        <w:rPr>
          <w:rFonts w:ascii="Century" w:eastAsia="Times New Roman" w:hAnsi="Century" w:cs="Arial"/>
          <w:sz w:val="28"/>
          <w:szCs w:val="28"/>
          <w:lang w:eastAsia="ru-RU"/>
        </w:rPr>
        <w:t>«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>Для будівництва та обслуговування об’єктів фізичної культури і спорту</w:t>
      </w:r>
      <w:r>
        <w:rPr>
          <w:rFonts w:ascii="Century" w:eastAsia="Times New Roman" w:hAnsi="Century" w:cs="Arial"/>
          <w:sz w:val="28"/>
          <w:szCs w:val="28"/>
          <w:lang w:eastAsia="ru-RU"/>
        </w:rPr>
        <w:t>»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(код згідно КВЦПЗ – 07.02), що розташована по вул. Верхня, в с. </w:t>
      </w:r>
      <w:proofErr w:type="spellStart"/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ького району Львівської області.</w:t>
      </w:r>
    </w:p>
    <w:p w14:paraId="265D8AF6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Затвердити:</w:t>
      </w:r>
    </w:p>
    <w:p w14:paraId="6DA8D109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.1. Строк оренди земельної ділянки 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49 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(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сорок дев’ять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) років.</w:t>
      </w:r>
    </w:p>
    <w:p w14:paraId="00684607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.2. Стартову ціну лот</w:t>
      </w:r>
      <w:r w:rsidR="004D2712">
        <w:rPr>
          <w:rFonts w:ascii="Century" w:eastAsia="Times New Roman" w:hAnsi="Century" w:cs="Arial"/>
          <w:sz w:val="28"/>
          <w:szCs w:val="28"/>
          <w:lang w:eastAsia="ru-RU"/>
        </w:rPr>
        <w:t>а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(стартовий розмір річної орендної плати земельної ділянки) в розмірі </w:t>
      </w:r>
      <w:r w:rsidR="002A75EC" w:rsidRPr="00EB6C4C">
        <w:rPr>
          <w:rFonts w:ascii="Century" w:eastAsia="Times New Roman" w:hAnsi="Century" w:cs="Arial"/>
          <w:b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відсотків від нормативної грошової оцінки земельної ділянки, що становить </w:t>
      </w:r>
      <w:r w:rsidR="002A75EC" w:rsidRPr="00EB6C4C">
        <w:rPr>
          <w:rFonts w:ascii="Century" w:eastAsia="Times New Roman" w:hAnsi="Century" w:cs="Arial"/>
          <w:b/>
          <w:sz w:val="28"/>
          <w:szCs w:val="28"/>
          <w:lang w:eastAsia="ru-RU"/>
        </w:rPr>
        <w:t>50774,93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грн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(п’ятдесят тисяч сімсот сімдесят чотири тривні 93 копійки)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3B53227B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 xml:space="preserve">.3. Крок аукціону </w:t>
      </w:r>
      <w:r w:rsidR="00D97F97">
        <w:rPr>
          <w:rFonts w:ascii="Century" w:eastAsia="Times New Roman" w:hAnsi="Century" w:cs="Arial"/>
          <w:sz w:val="28"/>
          <w:szCs w:val="28"/>
          <w:lang w:eastAsia="ru-RU"/>
        </w:rPr>
        <w:t>0,5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відсотків від стартової ціни лота, що становить </w:t>
      </w:r>
      <w:r w:rsidR="00D97F97">
        <w:rPr>
          <w:rFonts w:ascii="Century" w:eastAsia="Times New Roman" w:hAnsi="Century" w:cs="Arial"/>
          <w:sz w:val="28"/>
          <w:szCs w:val="28"/>
          <w:lang w:eastAsia="ru-RU"/>
        </w:rPr>
        <w:t>253,87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грн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(</w:t>
      </w:r>
      <w:r w:rsidR="00D97F97">
        <w:rPr>
          <w:rFonts w:ascii="Century" w:eastAsia="Times New Roman" w:hAnsi="Century" w:cs="Arial"/>
          <w:sz w:val="28"/>
          <w:szCs w:val="28"/>
          <w:lang w:eastAsia="ru-RU"/>
        </w:rPr>
        <w:t>двісті п’ятдесят три гривні 87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 xml:space="preserve"> копійок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)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7F5E9B67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.4. Гарантійний внесок в розмірі </w:t>
      </w:r>
      <w:r w:rsidR="003A7794" w:rsidRPr="00831BA7">
        <w:rPr>
          <w:rFonts w:ascii="Century" w:eastAsia="Times New Roman" w:hAnsi="Century" w:cs="Arial"/>
          <w:sz w:val="28"/>
          <w:szCs w:val="28"/>
          <w:lang w:eastAsia="ru-RU"/>
        </w:rPr>
        <w:t>30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відсотків від стартової ціни лота, що становить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15232,48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грн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(п'ятнадцять тисяч двісті тридцять дві гривні 48 копійок).</w:t>
      </w:r>
    </w:p>
    <w:p w14:paraId="6B7CBB05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.5. Умови продажу права оренди земельної ділянки:</w:t>
      </w:r>
    </w:p>
    <w:p w14:paraId="2B1FB1B8" w14:textId="77777777" w:rsidR="003A7794" w:rsidRPr="004D2712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</w:t>
      </w:r>
      <w:r w:rsidRPr="004D2712">
        <w:rPr>
          <w:rFonts w:ascii="Century" w:eastAsia="Times New Roman" w:hAnsi="Century" w:cs="Arial"/>
          <w:sz w:val="28"/>
          <w:szCs w:val="28"/>
          <w:lang w:eastAsia="ru-RU"/>
        </w:rPr>
        <w:t xml:space="preserve">переможець аукціону сплачує виконавцю земельних торгів вартість підготовки земельної ділянки до проведення земельних торгів в розмірі </w:t>
      </w:r>
      <w:r w:rsidR="00800D19" w:rsidRPr="004D2712">
        <w:rPr>
          <w:rFonts w:ascii="Century" w:eastAsia="Times New Roman" w:hAnsi="Century" w:cs="Arial"/>
          <w:sz w:val="28"/>
          <w:szCs w:val="28"/>
          <w:lang w:eastAsia="ru-RU"/>
        </w:rPr>
        <w:t>13</w:t>
      </w:r>
      <w:r w:rsidRPr="004D2712">
        <w:rPr>
          <w:rFonts w:ascii="Century" w:eastAsia="Times New Roman" w:hAnsi="Century" w:cs="Arial"/>
          <w:sz w:val="28"/>
          <w:szCs w:val="28"/>
          <w:lang w:eastAsia="ru-RU"/>
        </w:rPr>
        <w:t>600,00 грн</w:t>
      </w:r>
      <w:r w:rsidR="00800D19" w:rsidRPr="004D2712">
        <w:rPr>
          <w:rFonts w:ascii="Century" w:eastAsia="Times New Roman" w:hAnsi="Century" w:cs="Arial"/>
          <w:sz w:val="28"/>
          <w:szCs w:val="28"/>
          <w:lang w:eastAsia="ru-RU"/>
        </w:rPr>
        <w:t xml:space="preserve"> (тринадцять тисяч гривень шістсот копійок)</w:t>
      </w:r>
      <w:r w:rsidRPr="004D2712"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14:paraId="79F19FE7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- переможець аукціону сплачує виконавцю торгів вартість проведення земельних торгів в розмірі 50-ти відсотків річної орендної плати земельної ділянки, яка буде визначена за результатами земельних торгів, але не більше як 2000 неоподатковуваних мінімумів доходів громадян;</w:t>
      </w:r>
    </w:p>
    <w:p w14:paraId="45906CBC" w14:textId="77777777" w:rsidR="00EE61D5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переможець аукціону </w:t>
      </w:r>
      <w:r w:rsidR="00EE61D5">
        <w:rPr>
          <w:rFonts w:ascii="Century" w:eastAsia="Times New Roman" w:hAnsi="Century" w:cs="Arial"/>
          <w:sz w:val="28"/>
          <w:szCs w:val="28"/>
          <w:lang w:eastAsia="ru-RU"/>
        </w:rPr>
        <w:t xml:space="preserve">протягом одного місяця з дати підписання договору оренди земельної ділянки 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сплачує Городоцькій міській раді 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втрати сіль</w:t>
      </w:r>
      <w:r w:rsidR="008B5CAB">
        <w:rPr>
          <w:rFonts w:ascii="Century" w:eastAsia="Times New Roman" w:hAnsi="Century" w:cs="Arial"/>
          <w:sz w:val="28"/>
          <w:szCs w:val="28"/>
          <w:lang w:eastAsia="ru-RU"/>
        </w:rPr>
        <w:t>ськогосподарського виробництва в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розмірі </w:t>
      </w:r>
      <w:r w:rsidR="008B5CAB" w:rsidRPr="008B5CAB">
        <w:rPr>
          <w:rFonts w:ascii="Century" w:eastAsia="Times New Roman" w:hAnsi="Century" w:cs="Arial"/>
          <w:sz w:val="28"/>
          <w:szCs w:val="28"/>
          <w:lang w:eastAsia="ru-RU"/>
        </w:rPr>
        <w:t>145276,25 грн  (сто сорок п’ять тисяч двісті сім</w:t>
      </w:r>
      <w:r w:rsidR="008B5CAB">
        <w:rPr>
          <w:rFonts w:ascii="Century" w:eastAsia="Times New Roman" w:hAnsi="Century" w:cs="Arial"/>
          <w:sz w:val="28"/>
          <w:szCs w:val="28"/>
          <w:lang w:eastAsia="ru-RU"/>
        </w:rPr>
        <w:t>десят шість гривень 25 копійок);</w:t>
      </w:r>
    </w:p>
    <w:p w14:paraId="50A8400A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- річна орендна плата земельної ділянки, визначена за результатами земельних торгів, та вартість проведення земельних торгів сплачуються переможцем аукціону протягом трьох банківських днів з дня укладення договору оренди;</w:t>
      </w:r>
    </w:p>
    <w:p w14:paraId="61AD8E02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- гарантійний внесок, сплачений переможцем, зарахувати до річної орендної плати, визначеної за результатами земельних торгів;</w:t>
      </w:r>
    </w:p>
    <w:p w14:paraId="5A2DBC6A" w14:textId="77777777" w:rsid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- витрати по укладанню договору оренди земельної ділянки покладаються на перемож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>ця аукціону;</w:t>
      </w:r>
    </w:p>
    <w:p w14:paraId="27A2189C" w14:textId="77777777" w:rsidR="008C0FF9" w:rsidRDefault="008C0FF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- переможець аукціону надає на безоплатній основі можливість тренування та проведення футбольних матчів місцевими командами Городоцької міської ради Львівської області на облаштованому орендарем ф</w:t>
      </w:r>
      <w:r w:rsidR="00260609">
        <w:rPr>
          <w:rFonts w:ascii="Century" w:eastAsia="Times New Roman" w:hAnsi="Century" w:cs="Arial"/>
          <w:sz w:val="28"/>
          <w:szCs w:val="28"/>
          <w:lang w:eastAsia="ru-RU"/>
        </w:rPr>
        <w:t>утбольному майданчику протягом 5</w:t>
      </w:r>
      <w:r>
        <w:rPr>
          <w:rFonts w:ascii="Century" w:eastAsia="Times New Roman" w:hAnsi="Century" w:cs="Arial"/>
          <w:sz w:val="28"/>
          <w:szCs w:val="28"/>
          <w:lang w:eastAsia="ru-RU"/>
        </w:rPr>
        <w:t>0 годин кожного місяця на пе</w:t>
      </w:r>
      <w:r w:rsidR="004D2712">
        <w:rPr>
          <w:rFonts w:ascii="Century" w:eastAsia="Times New Roman" w:hAnsi="Century" w:cs="Arial"/>
          <w:sz w:val="28"/>
          <w:szCs w:val="28"/>
          <w:lang w:eastAsia="ru-RU"/>
        </w:rPr>
        <w:t>ріод  дії договору оренди землі;</w:t>
      </w:r>
    </w:p>
    <w:p w14:paraId="1096D3F2" w14:textId="77777777" w:rsidR="004D2712" w:rsidRPr="003A7794" w:rsidRDefault="004D2712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- у випадку не реалізації проекту переможцем аукціону протягом трьох років з дати укладення договору оренди, такий договір оренди може бути розірваний у встановленому законом порядку.</w:t>
      </w:r>
    </w:p>
    <w:p w14:paraId="054D9208" w14:textId="77777777" w:rsidR="003A7794" w:rsidRPr="0033135D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3135D">
        <w:rPr>
          <w:rFonts w:ascii="Century" w:eastAsia="Times New Roman" w:hAnsi="Century" w:cs="Arial"/>
          <w:sz w:val="28"/>
          <w:szCs w:val="28"/>
          <w:lang w:eastAsia="ru-RU"/>
        </w:rPr>
        <w:t>7</w:t>
      </w:r>
      <w:r w:rsidR="003A7794" w:rsidRPr="0033135D">
        <w:rPr>
          <w:rFonts w:ascii="Century" w:eastAsia="Times New Roman" w:hAnsi="Century" w:cs="Arial"/>
          <w:sz w:val="28"/>
          <w:szCs w:val="28"/>
          <w:lang w:eastAsia="ru-RU"/>
        </w:rPr>
        <w:t>. Міському</w:t>
      </w:r>
      <w:r w:rsidR="003A7794" w:rsidRPr="0033135D">
        <w:rPr>
          <w:rFonts w:ascii="Century" w:eastAsia="Times New Roman" w:hAnsi="Century" w:cs="Arial"/>
          <w:sz w:val="28"/>
          <w:szCs w:val="28"/>
          <w:lang w:val="ru-RU" w:eastAsia="ru-RU"/>
        </w:rPr>
        <w:t xml:space="preserve"> </w:t>
      </w:r>
      <w:r w:rsidR="003A7794" w:rsidRPr="0033135D">
        <w:rPr>
          <w:rFonts w:ascii="Century" w:eastAsia="Times New Roman" w:hAnsi="Century" w:cs="Arial"/>
          <w:sz w:val="28"/>
          <w:szCs w:val="28"/>
          <w:lang w:eastAsia="ru-RU"/>
        </w:rPr>
        <w:t>голові забезпечити організацію проведення земельного аукціону.</w:t>
      </w:r>
    </w:p>
    <w:p w14:paraId="0BE7E958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8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Після проведення земельного аукціону та визначення переможця, у день проведення земельного аукціону укласти з ним договір оренди земельної ділянки.</w:t>
      </w:r>
    </w:p>
    <w:p w14:paraId="5AEF7D6E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9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Міського голову уповноважити укласти з переможцем аукціону договір оренди земельної ділянки. </w:t>
      </w:r>
    </w:p>
    <w:p w14:paraId="30ABC219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Переможцю земельного аукціону:</w:t>
      </w:r>
    </w:p>
    <w:p w14:paraId="48420A74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.1. Приступити до освоєння земельної ділянки після повної сплати річної орендної плати, державної реєстрації права оренди на земельну ділянку та використовувати земельну ділянку за цільовим призначенням.</w:t>
      </w:r>
    </w:p>
    <w:p w14:paraId="2897E806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.2. Виконувати обов’язки користувача земельної ділянки згідно з вимогами ст. 96 Земельного кодексу України.</w:t>
      </w:r>
    </w:p>
    <w:p w14:paraId="66ACE686" w14:textId="77777777" w:rsidR="003A7794" w:rsidRPr="003A7794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11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Для проведення земельних торгів утворити аукціонну комісію у складі:</w:t>
      </w:r>
    </w:p>
    <w:p w14:paraId="1214934D" w14:textId="77777777" w:rsidR="00C42218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</w:t>
      </w:r>
      <w:r w:rsidR="00C42218">
        <w:rPr>
          <w:rFonts w:ascii="Century" w:eastAsia="Times New Roman" w:hAnsi="Century" w:cs="Arial"/>
          <w:sz w:val="28"/>
          <w:szCs w:val="28"/>
          <w:lang w:eastAsia="ru-RU"/>
        </w:rPr>
        <w:t>Ременяк Володимир Васильович,  міський голова – голова комісії;</w:t>
      </w:r>
    </w:p>
    <w:p w14:paraId="3A63A4AD" w14:textId="77777777" w:rsidR="00C42218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</w:t>
      </w:r>
      <w:proofErr w:type="spellStart"/>
      <w:r w:rsidR="00C42218">
        <w:rPr>
          <w:rFonts w:ascii="Century" w:eastAsia="Times New Roman" w:hAnsi="Century" w:cs="Arial"/>
          <w:sz w:val="28"/>
          <w:szCs w:val="28"/>
          <w:lang w:eastAsia="ru-RU"/>
        </w:rPr>
        <w:t>Тирпак</w:t>
      </w:r>
      <w:proofErr w:type="spellEnd"/>
      <w:r w:rsidR="00C42218">
        <w:rPr>
          <w:rFonts w:ascii="Century" w:eastAsia="Times New Roman" w:hAnsi="Century" w:cs="Arial"/>
          <w:sz w:val="28"/>
          <w:szCs w:val="28"/>
          <w:lang w:eastAsia="ru-RU"/>
        </w:rPr>
        <w:t xml:space="preserve"> Ірина Олександрівна, заступник міського голови, член комісії;</w:t>
      </w:r>
    </w:p>
    <w:p w14:paraId="1BB14110" w14:textId="77777777" w:rsidR="003A7794" w:rsidRPr="003A7794" w:rsidRDefault="00C42218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- Жук Володимир Михайлович, </w:t>
      </w:r>
      <w:r w:rsidR="004D2712">
        <w:rPr>
          <w:rFonts w:ascii="Century" w:eastAsia="Times New Roman" w:hAnsi="Century" w:cs="Arial"/>
          <w:sz w:val="28"/>
          <w:szCs w:val="28"/>
          <w:lang w:eastAsia="ru-RU"/>
        </w:rPr>
        <w:t xml:space="preserve">начальник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відділу земельних відносин   міської ради, член комісії. </w:t>
      </w:r>
    </w:p>
    <w:p w14:paraId="7A19CFD6" w14:textId="77777777" w:rsidR="003A7794" w:rsidRPr="003A7794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11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.1. Аукціонну комісію уповноважити представляти Городоцьку міську раду на земельному аукціоні з правом підписання всіх документів аукціону.</w:t>
      </w:r>
    </w:p>
    <w:p w14:paraId="4B473A74" w14:textId="77777777" w:rsidR="003A7794" w:rsidRPr="003A7794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11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.2. Аукціонна комісія є правомочною при присутності простої більшості її членів.</w:t>
      </w:r>
    </w:p>
    <w:p w14:paraId="069A5BC5" w14:textId="77777777" w:rsidR="0033135D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12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Місцем проведення аукціону визначити приміщення адмінбудинку</w:t>
      </w:r>
      <w:r w:rsidR="0033135D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за </w:t>
      </w:r>
      <w:proofErr w:type="spellStart"/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адресою</w:t>
      </w:r>
      <w:proofErr w:type="spellEnd"/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:</w:t>
      </w:r>
      <w:r w:rsidR="0033135D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33135D" w:rsidRPr="0033135D">
        <w:rPr>
          <w:rFonts w:ascii="Century" w:eastAsia="Times New Roman" w:hAnsi="Century" w:cs="Arial"/>
          <w:sz w:val="28"/>
          <w:szCs w:val="28"/>
          <w:lang w:eastAsia="ru-RU"/>
        </w:rPr>
        <w:t>м-н Гайдамаків, 6, м. Городок, Львівська обл</w:t>
      </w:r>
      <w:r w:rsidR="0033135D">
        <w:rPr>
          <w:rFonts w:ascii="Century" w:eastAsia="Times New Roman" w:hAnsi="Century" w:cs="Arial"/>
          <w:sz w:val="28"/>
          <w:szCs w:val="28"/>
          <w:lang w:eastAsia="ru-RU"/>
        </w:rPr>
        <w:t>асть.</w:t>
      </w:r>
    </w:p>
    <w:p w14:paraId="6ABF500F" w14:textId="77777777" w:rsid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</w:t>
      </w:r>
      <w:r w:rsidR="00B0159E">
        <w:rPr>
          <w:rFonts w:ascii="Century" w:eastAsia="Times New Roman" w:hAnsi="Century" w:cs="Arial"/>
          <w:sz w:val="28"/>
          <w:szCs w:val="28"/>
          <w:lang w:eastAsia="ru-RU"/>
        </w:rPr>
        <w:t>3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</w:t>
      </w:r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І.Тирпак</w:t>
      </w:r>
      <w:proofErr w:type="spellEnd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гол.Н.Кульчицький</w:t>
      </w:r>
      <w:proofErr w:type="spellEnd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).</w:t>
      </w:r>
    </w:p>
    <w:p w14:paraId="486F31D4" w14:textId="77777777" w:rsidR="0033135D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</w:p>
    <w:p w14:paraId="6CD77ECF" w14:textId="77777777" w:rsidR="003A7794" w:rsidRDefault="003A7794" w:rsidP="003A7794">
      <w:pPr>
        <w:spacing w:after="0" w:line="240" w:lineRule="auto"/>
        <w:jc w:val="both"/>
      </w:pP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Міський голова   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  <w:t xml:space="preserve">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  <w:t xml:space="preserve">                        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  <w:t xml:space="preserve">  </w:t>
      </w:r>
      <w:r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 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 </w:t>
      </w:r>
      <w:proofErr w:type="spellStart"/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>В.Ременяк</w:t>
      </w:r>
      <w:bookmarkStart w:id="0" w:name="n16"/>
      <w:bookmarkEnd w:id="0"/>
      <w:proofErr w:type="spellEnd"/>
    </w:p>
    <w:p w14:paraId="2228C183" w14:textId="77777777" w:rsidR="00DF6C49" w:rsidRDefault="00DF6C49"/>
    <w:sectPr w:rsidR="00DF6C49" w:rsidSect="00037F8E">
      <w:pgSz w:w="11906" w:h="16838"/>
      <w:pgMar w:top="567" w:right="424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6A"/>
    <w:rsid w:val="00037F8E"/>
    <w:rsid w:val="00260609"/>
    <w:rsid w:val="002A75EC"/>
    <w:rsid w:val="0033135D"/>
    <w:rsid w:val="003A7794"/>
    <w:rsid w:val="003D5A6A"/>
    <w:rsid w:val="004D2712"/>
    <w:rsid w:val="00800D19"/>
    <w:rsid w:val="00831BA7"/>
    <w:rsid w:val="008B5CAB"/>
    <w:rsid w:val="008C0FF9"/>
    <w:rsid w:val="00A17541"/>
    <w:rsid w:val="00B0159E"/>
    <w:rsid w:val="00C42218"/>
    <w:rsid w:val="00D63650"/>
    <w:rsid w:val="00D97F97"/>
    <w:rsid w:val="00DF6C49"/>
    <w:rsid w:val="00EB6C4C"/>
    <w:rsid w:val="00E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1248"/>
  <w15:chartTrackingRefBased/>
  <w15:docId w15:val="{1ABD2123-879B-4B98-A176-1016C625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4040</Words>
  <Characters>2304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12</cp:revision>
  <dcterms:created xsi:type="dcterms:W3CDTF">2021-06-29T09:37:00Z</dcterms:created>
  <dcterms:modified xsi:type="dcterms:W3CDTF">2021-07-05T07:59:00Z</dcterms:modified>
</cp:coreProperties>
</file>