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AED" w:rsidRDefault="005F1AED" w:rsidP="00DE7367"/>
    <w:p w:rsidR="005F1AED" w:rsidRPr="001955B4" w:rsidRDefault="005F1AED" w:rsidP="00DE7367">
      <w:pPr>
        <w:rPr>
          <w:rFonts w:ascii="Times New Roman" w:hAnsi="Times New Roman" w:cs="Times New Roman"/>
        </w:rPr>
      </w:pPr>
    </w:p>
    <w:p w:rsidR="00F7223D" w:rsidRPr="00F7223D" w:rsidRDefault="00F7223D" w:rsidP="00F7223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7223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Додаток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9</w:t>
      </w:r>
    </w:p>
    <w:p w:rsidR="00F7223D" w:rsidRPr="00F7223D" w:rsidRDefault="00F7223D" w:rsidP="00F7223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7223D">
        <w:rPr>
          <w:rStyle w:val="a4"/>
          <w:rFonts w:ascii="Times New Roman" w:hAnsi="Times New Roman" w:cs="Times New Roman"/>
          <w:b w:val="0"/>
          <w:sz w:val="28"/>
          <w:szCs w:val="28"/>
        </w:rPr>
        <w:t>ЗАТВЕРДЖЕНО</w:t>
      </w:r>
    </w:p>
    <w:p w:rsidR="00F7223D" w:rsidRPr="00F7223D" w:rsidRDefault="00F7223D" w:rsidP="00F7223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7223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Рішення виконавчого комітету </w:t>
      </w:r>
    </w:p>
    <w:p w:rsidR="00F7223D" w:rsidRPr="00F7223D" w:rsidRDefault="00F7223D" w:rsidP="00F7223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7223D">
        <w:rPr>
          <w:rStyle w:val="a4"/>
          <w:rFonts w:ascii="Times New Roman" w:hAnsi="Times New Roman" w:cs="Times New Roman"/>
          <w:b w:val="0"/>
          <w:sz w:val="28"/>
          <w:szCs w:val="28"/>
        </w:rPr>
        <w:t>Городоцької міської ради</w:t>
      </w:r>
    </w:p>
    <w:p w:rsidR="00EF3C39" w:rsidRDefault="00EF3C39" w:rsidP="00EF3C39">
      <w:pPr>
        <w:jc w:val="right"/>
        <w:rPr>
          <w:rFonts w:cs="Times New Roman"/>
          <w:lang w:eastAsia="uk-UA"/>
        </w:rPr>
      </w:pPr>
      <w:r>
        <w:rPr>
          <w:rStyle w:val="a4"/>
          <w:b w:val="0"/>
          <w:sz w:val="28"/>
          <w:szCs w:val="28"/>
        </w:rPr>
        <w:t>від 17.06.2021 року № 216</w:t>
      </w:r>
    </w:p>
    <w:p w:rsidR="00EF3C39" w:rsidRDefault="00EF3C39" w:rsidP="00EF3C39"/>
    <w:p w:rsidR="005F1AED" w:rsidRDefault="005F1AED" w:rsidP="00C278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ПОСАДОВА ІНСТРУКЦІЯ</w:t>
      </w:r>
    </w:p>
    <w:p w:rsidR="005F1AED" w:rsidRDefault="005F1AED" w:rsidP="00C278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провідного спеціаліста </w:t>
      </w:r>
    </w:p>
    <w:p w:rsidR="005F1AED" w:rsidRPr="001955B4" w:rsidRDefault="005F1AED" w:rsidP="00C278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r w:rsidRPr="001955B4">
        <w:rPr>
          <w:rFonts w:ascii="Times New Roman" w:hAnsi="Times New Roman" w:cs="Times New Roman"/>
          <w:b/>
          <w:bCs/>
          <w:sz w:val="28"/>
          <w:szCs w:val="28"/>
        </w:rPr>
        <w:t>економічного розвитку, інвестицій та МТД</w:t>
      </w:r>
    </w:p>
    <w:p w:rsidR="005F1AED" w:rsidRPr="001955B4" w:rsidRDefault="005F1AED" w:rsidP="001955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5B4">
        <w:rPr>
          <w:rFonts w:ascii="Times New Roman" w:hAnsi="Times New Roman" w:cs="Times New Roman"/>
          <w:b/>
          <w:bCs/>
          <w:sz w:val="28"/>
          <w:szCs w:val="28"/>
        </w:rPr>
        <w:t>Городоцької міської ради Львівської області</w:t>
      </w:r>
    </w:p>
    <w:p w:rsidR="005F1AED" w:rsidRPr="001955B4" w:rsidRDefault="005F1AED" w:rsidP="00DE7367">
      <w:pPr>
        <w:rPr>
          <w:rFonts w:ascii="Times New Roman" w:hAnsi="Times New Roman" w:cs="Times New Roman"/>
        </w:rPr>
      </w:pPr>
    </w:p>
    <w:p w:rsidR="005F1AED" w:rsidRPr="00F7223D" w:rsidRDefault="005F1AED" w:rsidP="001955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223D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1.1.Провідний спеціаліст відділу економічного розвитку,  інвестицій та МТД Городоцької міської ради Львівської області (далі – Відділ) здійснює свої повноваження в межах посадової інструкції та положення про відділ..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1.2. Призначається на посаду та звільняється з посади розпорядженням міського голови, шляхом конкурсного відбору, або за іншою процедурою,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передбаченою законодавством України.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1.3. Повинен мати вищу освіту (економічну).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1.4. Підпорядковується начальнику Відділу та безпосередньо міському голові, профільному заступнику міського голови.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1.5. Повинен знати Конституцію України, Закони України: «Про місцеве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самоврядування в Україні», «Про службу в органах місцевого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самоврядування», «Про засади запобігання і протидії корупції», «Про доступ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до публічної інформації», «Про інформацію», «Про захист персональних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даних», «Про звернення громадян», «Про публічні закупівлі», Бюджетний та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Податковий кодекси України, акти Президента України, Кабінету Міністрів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України, розпорядження міського голови, Регламент Городоцької міської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ради, Регламент Виконавчого комітету Городоцької міської ради, а також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Положенням про відділ та інші підзаконні нормативно-правові акти; правила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ділового етикету; основні принципи роботи на комп’ютері.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1.6 Провідний спеціаліст  відділу економічного розвитку,  інвестицій та МТД  зобов’язаний дотримуватися Конституції України, законів та інших нормативних актів; працювати чесно та сумлінно, вживати заходів для негайного усунення причин та умов, що перешкоджають виконанню функціональних обов’язків; підвищувати продуктивність праці; утримувати своє робоче місце в чистоті; поводити себе гідно, дотримуватись моральних та етичних правил.</w:t>
      </w:r>
    </w:p>
    <w:p w:rsidR="005F1AED" w:rsidRPr="00F7223D" w:rsidRDefault="005F1AED" w:rsidP="00DE7367">
      <w:pPr>
        <w:rPr>
          <w:rFonts w:ascii="Times New Roman" w:hAnsi="Times New Roman" w:cs="Times New Roman"/>
          <w:sz w:val="28"/>
          <w:szCs w:val="28"/>
        </w:rPr>
      </w:pPr>
    </w:p>
    <w:p w:rsidR="005F1AED" w:rsidRPr="00F7223D" w:rsidRDefault="005F1AED" w:rsidP="003576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223D">
        <w:rPr>
          <w:rFonts w:ascii="Times New Roman" w:hAnsi="Times New Roman" w:cs="Times New Roman"/>
          <w:b/>
          <w:bCs/>
          <w:sz w:val="28"/>
          <w:szCs w:val="28"/>
        </w:rPr>
        <w:t>2. Завдання та посадові обов’язки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2.1. Основні завдання провідного спеціаліста відділу економічного розвитку, інвестицій та МТД: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реалізація повноважень у сфері соціально – економічного розвитку громади, визначених Законом України «Про місцеве самоврядування в Україні»;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забезпечення реалізації державної політики у сфері економіки та сільського господарства територіальної громади;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організація виконання програм соціально – економічного, інвестиційного та культурного розвитку громади.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2.2. Провідний спеціаліст відділу економічного розвитку, інвестицій та МТД: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займається підготовкою пропозицій щодо програми  соціально-економічного розвитку міської ради, готує звіти щодо їх виконання;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 xml:space="preserve">-готує проекти рішень міської ради внесення змін до нього, а також </w:t>
      </w:r>
      <w:proofErr w:type="spellStart"/>
      <w:r w:rsidRPr="00F7223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F7223D">
        <w:rPr>
          <w:rFonts w:ascii="Times New Roman" w:hAnsi="Times New Roman" w:cs="Times New Roman"/>
          <w:sz w:val="28"/>
          <w:szCs w:val="28"/>
        </w:rPr>
        <w:t xml:space="preserve"> розпоряджень голови міської ради з питань пов'язаних з виконанням покладених  обов'язків;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готує пропозиції щодо розробки місцевих програм;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забезпечує інформування представників аграрної сфери  про актуальні державні, обласні програми;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забезпечує інформування представників малого та середнього бізнесу про можливості участі у виставках, заходах;</w:t>
      </w:r>
    </w:p>
    <w:p w:rsidR="005F1AED" w:rsidRPr="00F7223D" w:rsidRDefault="005F1AED" w:rsidP="003832F3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опрацьовує інформацію  щодо потенційних інвесторів у громаді;</w:t>
      </w:r>
    </w:p>
    <w:p w:rsidR="005F1AED" w:rsidRPr="00F7223D" w:rsidRDefault="005F1AED" w:rsidP="003832F3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формує та періодично оновлює інвестиційний профіль громади;</w:t>
      </w:r>
    </w:p>
    <w:p w:rsidR="005F1AED" w:rsidRPr="00F7223D" w:rsidRDefault="005F1AED" w:rsidP="003832F3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здійснює моніторинг інтернет-ресурсів, відслідковує актуальні можливості щодо участі в конкурсах;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формує заявки для участі міської ради у конкурсах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 xml:space="preserve">- здійснює координацію та формує звіти під час та після реалізації </w:t>
      </w:r>
      <w:proofErr w:type="spellStart"/>
      <w:r w:rsidRPr="00F7223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F7223D">
        <w:rPr>
          <w:rFonts w:ascii="Times New Roman" w:hAnsi="Times New Roman" w:cs="Times New Roman"/>
          <w:sz w:val="28"/>
          <w:szCs w:val="28"/>
        </w:rPr>
        <w:t>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 xml:space="preserve"> - проводить моніторинг плану заходів з реалізації стратегії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 дорученням міського голови розглядає звернення, пропозиції, листи і скарги громадян, підприємств. установ та організацій, що надходять до Відділу, вирішує їх та готує відповідні пропозиції;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здійснює розгляд звернень громадян та прийом громадян з питань, що відносяться до компетенції Відділу;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забезпечує виконання рішень міської ради, виконавчого комітету, розпоряджень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 xml:space="preserve">голови громади з питань, що належать до компетенції Відділу; 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lastRenderedPageBreak/>
        <w:t>- здійснює інші повноваження. покладені на Відділ відповідно до чинного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5F1AED" w:rsidRPr="00F7223D" w:rsidRDefault="005F1AED" w:rsidP="00FA54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223D">
        <w:rPr>
          <w:rFonts w:ascii="Times New Roman" w:hAnsi="Times New Roman" w:cs="Times New Roman"/>
          <w:b/>
          <w:bCs/>
          <w:sz w:val="28"/>
          <w:szCs w:val="28"/>
        </w:rPr>
        <w:t>3.Права</w:t>
      </w:r>
    </w:p>
    <w:p w:rsidR="005F1AED" w:rsidRPr="00F7223D" w:rsidRDefault="005F1AED" w:rsidP="00CF7D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Провідний спеціаліст відділу економічного розвитку, інвестицій та МТД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має право: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3.1. користуватися правами і свободами, які гарантуються громадянам</w:t>
      </w:r>
      <w:r w:rsidR="00F7223D">
        <w:rPr>
          <w:rFonts w:ascii="Times New Roman" w:hAnsi="Times New Roman" w:cs="Times New Roman"/>
          <w:sz w:val="28"/>
          <w:szCs w:val="28"/>
        </w:rPr>
        <w:t xml:space="preserve"> </w:t>
      </w:r>
      <w:r w:rsidRPr="00F7223D">
        <w:rPr>
          <w:rFonts w:ascii="Times New Roman" w:hAnsi="Times New Roman" w:cs="Times New Roman"/>
          <w:sz w:val="28"/>
          <w:szCs w:val="28"/>
        </w:rPr>
        <w:t>України Конституцією та законами України;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F7223D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F7223D">
        <w:rPr>
          <w:rFonts w:ascii="Times New Roman" w:hAnsi="Times New Roman" w:cs="Times New Roman"/>
          <w:sz w:val="28"/>
          <w:szCs w:val="28"/>
        </w:rPr>
        <w:t xml:space="preserve"> повагу особистої гідності, справедливого і шанобливого ставлення до себе з боку керівників, співробітників і громадян;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 xml:space="preserve">3.3. </w:t>
      </w:r>
      <w:proofErr w:type="spellStart"/>
      <w:r w:rsidRPr="00F7223D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F7223D">
        <w:rPr>
          <w:rFonts w:ascii="Times New Roman" w:hAnsi="Times New Roman" w:cs="Times New Roman"/>
          <w:sz w:val="28"/>
          <w:szCs w:val="28"/>
        </w:rPr>
        <w:t xml:space="preserve"> своєчасну оплату праці залежно від займаної посади, якості, досвіду та стажу роботи;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3.4 представляти інтереси міської ради з питань, що належать до компетенції відділу;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3.5вимагати та отримувати від керівників відділів, установ та організацій інформацію, необхідну для виконання своїх посадових обов’язків та завдань за напрямком діяльності;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3.6 безперешкодно ознайомлюватись з матеріалами, що стосуються проходження ним служби в органах місцевого самоврядування.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3.7 на здорові, безпечні та належні умови праці.</w:t>
      </w:r>
    </w:p>
    <w:p w:rsidR="005F1AED" w:rsidRPr="00F7223D" w:rsidRDefault="005F1AED" w:rsidP="00DE7367">
      <w:pPr>
        <w:rPr>
          <w:rFonts w:ascii="Times New Roman" w:hAnsi="Times New Roman" w:cs="Times New Roman"/>
          <w:sz w:val="28"/>
          <w:szCs w:val="28"/>
        </w:rPr>
      </w:pPr>
    </w:p>
    <w:p w:rsidR="005F1AED" w:rsidRPr="00F7223D" w:rsidRDefault="005F1AED" w:rsidP="005B19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223D">
        <w:rPr>
          <w:rFonts w:ascii="Times New Roman" w:hAnsi="Times New Roman" w:cs="Times New Roman"/>
          <w:b/>
          <w:bCs/>
          <w:sz w:val="28"/>
          <w:szCs w:val="28"/>
        </w:rPr>
        <w:t>4. Відповідальність</w:t>
      </w:r>
    </w:p>
    <w:p w:rsidR="005F1AED" w:rsidRPr="00F7223D" w:rsidRDefault="005F1AED" w:rsidP="00CF7D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Провідний спеціаліст відділу економічного розвитку, інвестицій та МТД  несе відповідальність за :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неналежне виконання або невиконання своїх посадових обов'язків;</w:t>
      </w:r>
    </w:p>
    <w:p w:rsidR="005F1AED" w:rsidRPr="00F7223D" w:rsidRDefault="005F1AED" w:rsidP="00CF7D5B">
      <w:pPr>
        <w:jc w:val="both"/>
        <w:rPr>
          <w:rFonts w:ascii="Times New Roman" w:hAnsi="Times New Roman" w:cs="Times New Roman"/>
          <w:sz w:val="28"/>
          <w:szCs w:val="28"/>
        </w:rPr>
      </w:pPr>
      <w:r w:rsidRPr="00F7223D">
        <w:rPr>
          <w:rFonts w:ascii="Times New Roman" w:hAnsi="Times New Roman" w:cs="Times New Roman"/>
          <w:sz w:val="28"/>
          <w:szCs w:val="28"/>
        </w:rPr>
        <w:t>- за недотримання трудової та виконавської дисципліни.</w:t>
      </w:r>
    </w:p>
    <w:p w:rsidR="005F1AED" w:rsidRPr="00F7223D" w:rsidRDefault="005F1AED" w:rsidP="008435C9">
      <w:pPr>
        <w:rPr>
          <w:rFonts w:ascii="Times New Roman" w:hAnsi="Times New Roman" w:cs="Times New Roman"/>
          <w:sz w:val="28"/>
          <w:szCs w:val="28"/>
        </w:rPr>
      </w:pPr>
    </w:p>
    <w:p w:rsidR="005F1AED" w:rsidRPr="00F7223D" w:rsidRDefault="005F1AED" w:rsidP="008435C9">
      <w:pPr>
        <w:rPr>
          <w:rFonts w:ascii="Times New Roman" w:hAnsi="Times New Roman" w:cs="Times New Roman"/>
          <w:sz w:val="28"/>
          <w:szCs w:val="28"/>
        </w:rPr>
      </w:pPr>
    </w:p>
    <w:p w:rsidR="00F7223D" w:rsidRDefault="00F7223D" w:rsidP="009C12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економічного розвитку,</w:t>
      </w:r>
    </w:p>
    <w:p w:rsidR="00F7223D" w:rsidRDefault="00F7223D" w:rsidP="009C12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інвестицій та МТД                                                                               І. Точена</w:t>
      </w:r>
    </w:p>
    <w:p w:rsidR="00F7223D" w:rsidRDefault="00F7223D" w:rsidP="009C129F">
      <w:pPr>
        <w:rPr>
          <w:rFonts w:ascii="Times New Roman" w:hAnsi="Times New Roman" w:cs="Times New Roman"/>
          <w:sz w:val="28"/>
          <w:szCs w:val="28"/>
        </w:rPr>
      </w:pPr>
    </w:p>
    <w:p w:rsidR="00F7223D" w:rsidRPr="00F7223D" w:rsidRDefault="00F7223D" w:rsidP="009C12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посадовою інструкцією ознайомлений (-а)_______________________-</w:t>
      </w:r>
    </w:p>
    <w:p w:rsidR="005F1AED" w:rsidRPr="00F7223D" w:rsidRDefault="005F1AED" w:rsidP="008435C9">
      <w:pPr>
        <w:rPr>
          <w:rFonts w:ascii="Times New Roman" w:hAnsi="Times New Roman" w:cs="Times New Roman"/>
          <w:sz w:val="28"/>
          <w:szCs w:val="28"/>
        </w:rPr>
      </w:pPr>
    </w:p>
    <w:sectPr w:rsidR="005F1AED" w:rsidRPr="00F7223D" w:rsidSect="00DE73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272EF"/>
    <w:multiLevelType w:val="hybridMultilevel"/>
    <w:tmpl w:val="EC203632"/>
    <w:lvl w:ilvl="0" w:tplc="B4E8B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D16"/>
    <w:rsid w:val="00011D16"/>
    <w:rsid w:val="000464EE"/>
    <w:rsid w:val="001955B4"/>
    <w:rsid w:val="00202AAE"/>
    <w:rsid w:val="002D2ABD"/>
    <w:rsid w:val="00315823"/>
    <w:rsid w:val="00341A05"/>
    <w:rsid w:val="00343A2E"/>
    <w:rsid w:val="00355D40"/>
    <w:rsid w:val="003576A5"/>
    <w:rsid w:val="00375883"/>
    <w:rsid w:val="003832F3"/>
    <w:rsid w:val="003D7D1C"/>
    <w:rsid w:val="0046497B"/>
    <w:rsid w:val="004B6051"/>
    <w:rsid w:val="005344E9"/>
    <w:rsid w:val="00585E73"/>
    <w:rsid w:val="00593021"/>
    <w:rsid w:val="005B1944"/>
    <w:rsid w:val="005E13E8"/>
    <w:rsid w:val="005F02C4"/>
    <w:rsid w:val="005F1AED"/>
    <w:rsid w:val="00612F03"/>
    <w:rsid w:val="00680FD6"/>
    <w:rsid w:val="00706789"/>
    <w:rsid w:val="00762AD2"/>
    <w:rsid w:val="008435C9"/>
    <w:rsid w:val="00844F3B"/>
    <w:rsid w:val="00845751"/>
    <w:rsid w:val="0087090D"/>
    <w:rsid w:val="00932FCB"/>
    <w:rsid w:val="00960FF6"/>
    <w:rsid w:val="009663A9"/>
    <w:rsid w:val="009C129F"/>
    <w:rsid w:val="009D2DAB"/>
    <w:rsid w:val="00A57F58"/>
    <w:rsid w:val="00A62792"/>
    <w:rsid w:val="00AB2D20"/>
    <w:rsid w:val="00AC3F0F"/>
    <w:rsid w:val="00B9226D"/>
    <w:rsid w:val="00C27887"/>
    <w:rsid w:val="00C50215"/>
    <w:rsid w:val="00C96E2B"/>
    <w:rsid w:val="00CF7D5B"/>
    <w:rsid w:val="00D252BB"/>
    <w:rsid w:val="00D41A1B"/>
    <w:rsid w:val="00D71EBD"/>
    <w:rsid w:val="00DC20F5"/>
    <w:rsid w:val="00DE7367"/>
    <w:rsid w:val="00EF3C39"/>
    <w:rsid w:val="00F7223D"/>
    <w:rsid w:val="00FA5435"/>
    <w:rsid w:val="00FC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46D497-55CC-43F0-90A3-584B7473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2792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D20"/>
    <w:pPr>
      <w:ind w:left="720"/>
    </w:pPr>
  </w:style>
  <w:style w:type="character" w:styleId="a4">
    <w:name w:val="Strong"/>
    <w:qFormat/>
    <w:rsid w:val="00F722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58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3387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Aria Group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Фостяк</dc:creator>
  <cp:keywords/>
  <dc:description/>
  <cp:lastModifiedBy>Оля Голобородько</cp:lastModifiedBy>
  <cp:revision>6</cp:revision>
  <dcterms:created xsi:type="dcterms:W3CDTF">2021-06-14T12:03:00Z</dcterms:created>
  <dcterms:modified xsi:type="dcterms:W3CDTF">2021-06-25T13:03:00Z</dcterms:modified>
</cp:coreProperties>
</file>